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80060" w:rsidRDefault="00FA6363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#100</w:t>
      </w:r>
      <w:r w:rsidR="004660F4">
        <w:rPr>
          <w:rFonts w:ascii="Arial" w:hAnsi="Arial" w:cs="Arial"/>
          <w:b/>
          <w:bCs/>
          <w:sz w:val="22"/>
          <w:szCs w:val="22"/>
        </w:rPr>
        <w:t>b</w:t>
      </w:r>
      <w:r>
        <w:rPr>
          <w:rFonts w:ascii="Arial" w:hAnsi="Arial" w:cs="Arial"/>
          <w:b/>
          <w:bCs/>
          <w:sz w:val="22"/>
          <w:szCs w:val="22"/>
        </w:rPr>
        <w:t>is</w:t>
      </w:r>
      <w:r w:rsidR="004660F4"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672879" w:rsidRPr="00672879">
        <w:rPr>
          <w:rFonts w:ascii="Arial" w:hAnsi="Arial" w:cs="Arial"/>
          <w:b/>
          <w:bCs/>
          <w:sz w:val="22"/>
          <w:szCs w:val="22"/>
        </w:rPr>
        <w:t>R1-2001874</w:t>
      </w:r>
    </w:p>
    <w:p w:rsidR="00880060" w:rsidRDefault="00FA6363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e-Meeting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April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0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 w:rsidR="004660F4">
        <w:rPr>
          <w:rFonts w:ascii="Arial" w:hAnsi="Arial" w:cs="Arial"/>
          <w:b/>
          <w:bCs/>
          <w:sz w:val="22"/>
          <w:szCs w:val="22"/>
          <w:lang w:eastAsia="ja-JP"/>
        </w:rPr>
        <w:t>30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, 202</w:t>
      </w:r>
      <w:r>
        <w:rPr>
          <w:rFonts w:ascii="Arial" w:hAnsi="Arial" w:cs="Arial" w:hint="eastAsia"/>
          <w:b/>
          <w:bCs/>
          <w:sz w:val="22"/>
          <w:szCs w:val="22"/>
        </w:rPr>
        <w:t>0</w:t>
      </w:r>
    </w:p>
    <w:p w:rsidR="00880060" w:rsidRDefault="00880060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</w:p>
    <w:p w:rsidR="00880060" w:rsidRDefault="00FA6363" w:rsidP="00201473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Remaining i</w:t>
      </w:r>
      <w:r>
        <w:rPr>
          <w:rFonts w:ascii="Arial" w:hAnsi="Arial"/>
          <w:b/>
          <w:sz w:val="22"/>
          <w:szCs w:val="22"/>
        </w:rPr>
        <w:t>ssues in IAB</w:t>
      </w:r>
      <w:r>
        <w:rPr>
          <w:rFonts w:ascii="Arial" w:hAnsi="Arial" w:hint="eastAsia"/>
          <w:b/>
          <w:sz w:val="22"/>
          <w:szCs w:val="22"/>
        </w:rPr>
        <w:t xml:space="preserve"> PRACH</w:t>
      </w:r>
    </w:p>
    <w:p w:rsidR="00880060" w:rsidRDefault="00FA6363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 Sanechips</w:t>
      </w:r>
    </w:p>
    <w:p w:rsidR="00880060" w:rsidRDefault="00FA6363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7.2.3.2</w:t>
      </w:r>
    </w:p>
    <w:p w:rsidR="00880060" w:rsidRDefault="00FA6363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880060" w:rsidRDefault="00FA6363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:rsidR="00880060" w:rsidRDefault="00FA6363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This </w:t>
      </w:r>
      <w:r>
        <w:rPr>
          <w:rFonts w:hint="eastAsia"/>
          <w:sz w:val="20"/>
          <w:szCs w:val="22"/>
        </w:rPr>
        <w:t>contribution discusses some corrections on PRACH occasions for an IAB node MT and provides the corresponding TPs.</w:t>
      </w:r>
    </w:p>
    <w:p w:rsidR="00880060" w:rsidRDefault="00FA6363">
      <w:pPr>
        <w:pStyle w:val="Heading1"/>
        <w:spacing w:before="120" w:after="120"/>
        <w:ind w:left="0"/>
        <w:rPr>
          <w:szCs w:val="22"/>
        </w:rPr>
      </w:pPr>
      <w:r>
        <w:rPr>
          <w:rFonts w:eastAsia="SimSun" w:hint="eastAsia"/>
          <w:szCs w:val="22"/>
        </w:rPr>
        <w:t>Discussion</w:t>
      </w:r>
    </w:p>
    <w:p w:rsidR="00880060" w:rsidRDefault="001B2293" w:rsidP="00FA6363">
      <w:pPr>
        <w:spacing w:before="120" w:after="120"/>
        <w:rPr>
          <w:szCs w:val="22"/>
        </w:rPr>
      </w:pPr>
      <w:r>
        <w:rPr>
          <w:szCs w:val="22"/>
        </w:rPr>
        <w:t>The current TS38.211 has following description for PRACH occasions</w:t>
      </w:r>
      <w:r w:rsidR="00C375E5">
        <w:rPr>
          <w:szCs w:val="22"/>
        </w:rPr>
        <w:t>:</w:t>
      </w:r>
    </w:p>
    <w:p w:rsidR="001B2293" w:rsidRDefault="002977EC" w:rsidP="00FA6363">
      <w:pPr>
        <w:spacing w:before="120" w:after="120"/>
        <w:rPr>
          <w:szCs w:val="22"/>
        </w:rPr>
      </w:pPr>
      <w:r>
        <w:rPr>
          <w:noProof/>
          <w:szCs w:val="22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.9pt;margin-top:.45pt;width:455.3pt;height:188.3pt;z-index:251660288;mso-width-relative:margin;mso-height-relative:margin">
            <v:textbox>
              <w:txbxContent>
                <w:p w:rsidR="00A44B9D" w:rsidRPr="00737968" w:rsidRDefault="00A44B9D" w:rsidP="00737968">
                  <w:pPr>
                    <w:spacing w:beforeLines="0" w:afterLines="0" w:line="240" w:lineRule="auto"/>
                    <w:ind w:left="568" w:hanging="284"/>
                    <w:jc w:val="left"/>
                    <w:rPr>
                      <w:rFonts w:eastAsia="Times New Roman"/>
                      <w:kern w:val="0"/>
                      <w:sz w:val="20"/>
                      <w:lang w:eastAsia="en-US"/>
                    </w:rPr>
                  </w:pPr>
                  <w:r>
                    <w:rPr>
                      <w:rFonts w:eastAsia="Times New Roman"/>
                      <w:kern w:val="0"/>
                      <w:sz w:val="20"/>
                      <w:lang w:eastAsia="en-US"/>
                    </w:rPr>
                    <w:t xml:space="preserve">- </w:t>
                  </w:r>
                  <w:r w:rsidRPr="00737968">
                    <w:rPr>
                      <w:rFonts w:eastAsia="Times New Roman"/>
                      <w:kern w:val="0"/>
                      <w:sz w:val="20"/>
                      <w:lang w:eastAsia="en-US"/>
                    </w:rPr>
                    <w:t xml:space="preserve">if the higher-layer parameter </w:t>
                  </w:r>
                  <w:r w:rsidRPr="00737968">
                    <w:rPr>
                      <w:rFonts w:eastAsia="Times New Roman"/>
                      <w:i/>
                      <w:iCs/>
                      <w:kern w:val="0"/>
                      <w:sz w:val="20"/>
                      <w:lang w:eastAsia="en-US"/>
                    </w:rPr>
                    <w:t>prach-ConfigurationPeriocScaling</w:t>
                  </w:r>
                  <w:r w:rsidRPr="00737968">
                    <w:rPr>
                      <w:rFonts w:eastAsia="Times New Roman"/>
                      <w:kern w:val="0"/>
                      <w:sz w:val="20"/>
                      <w:lang w:eastAsia="en-US"/>
                    </w:rPr>
                    <w:t xml:space="preserve"> is configured, the variable </w:t>
                  </w:r>
                  <m:oMath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>x</m:t>
                    </m:r>
                  </m:oMath>
                  <w:r w:rsidRPr="00737968">
                    <w:rPr>
                      <w:rFonts w:eastAsia="Times New Roman"/>
                      <w:kern w:val="0"/>
                      <w:sz w:val="20"/>
                      <w:lang w:eastAsia="en-US"/>
                    </w:rPr>
                    <w:t xml:space="preserve"> used in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kern w:val="0"/>
                            <w:sz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kern w:val="0"/>
                            <w:sz w:val="20"/>
                            <w:lang w:val="en-GB" w:eastAsia="en-US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Times New Roman"/>
                            <w:kern w:val="0"/>
                            <w:sz w:val="20"/>
                            <w:lang w:eastAsia="en-US"/>
                          </w:rPr>
                          <m:t>SFN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Times New Roman"/>
                        <w:kern w:val="0"/>
                        <w:sz w:val="20"/>
                        <w:lang w:eastAsia="en-US"/>
                      </w:rPr>
                      <m:t>mod</m:t>
                    </m:r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val="en-GB" w:eastAsia="en-US"/>
                      </w:rPr>
                      <m:t>x</m:t>
                    </m:r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>=</m:t>
                    </m:r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val="en-GB" w:eastAsia="en-US"/>
                      </w:rPr>
                      <m:t>y</m:t>
                    </m:r>
                  </m:oMath>
                  <w:r w:rsidRPr="00737968">
                    <w:rPr>
                      <w:rFonts w:eastAsia="Times New Roman"/>
                      <w:kern w:val="0"/>
                      <w:sz w:val="20"/>
                      <w:lang w:eastAsia="en-US"/>
                    </w:rPr>
                    <w:t xml:space="preserve"> of Tables 6.3.3.2-2 to 6.3.3.2-4 shall be replaced by </w:t>
                  </w:r>
                  <m:oMath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kern w:val="0"/>
                            <w:sz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kern w:val="0"/>
                            <w:sz w:val="20"/>
                            <w:lang w:val="en-GB" w:eastAsia="en-US"/>
                          </w:rPr>
                          <m:t>x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Times New Roman"/>
                            <w:kern w:val="0"/>
                            <w:sz w:val="20"/>
                            <w:lang w:eastAsia="en-US"/>
                          </w:rPr>
                          <m:t>IAB</m:t>
                        </m:r>
                      </m:sub>
                    </m:sSub>
                  </m:oMath>
                  <w:r w:rsidRPr="00737968">
                    <w:rPr>
                      <w:rFonts w:eastAsia="Times New Roman"/>
                      <w:kern w:val="0"/>
                      <w:sz w:val="20"/>
                      <w:lang w:eastAsia="en-US"/>
                    </w:rPr>
                    <w:t xml:space="preserve"> , where </w:t>
                  </w:r>
                  <m:oMath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kern w:val="0"/>
                            <w:sz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kern w:val="0"/>
                            <w:sz w:val="20"/>
                            <w:lang w:val="en-GB" w:eastAsia="en-US"/>
                          </w:rPr>
                          <m:t>x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Times New Roman"/>
                            <w:kern w:val="0"/>
                            <w:sz w:val="20"/>
                            <w:lang w:eastAsia="en-US"/>
                          </w:rPr>
                          <m:t>IAB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val="en-GB" w:eastAsia="en-US"/>
                      </w:rPr>
                      <m:t>=δx</m:t>
                    </m:r>
                  </m:oMath>
                  <w:r w:rsidRPr="00737968">
                    <w:rPr>
                      <w:rFonts w:eastAsia="Times New Roman"/>
                      <w:kern w:val="0"/>
                      <w:sz w:val="20"/>
                      <w:lang w:eastAsia="en-US"/>
                    </w:rPr>
                    <w:t xml:space="preserve"> and </w:t>
                  </w:r>
                  <m:oMath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>δ</m:t>
                    </m:r>
                  </m:oMath>
                  <w:r w:rsidRPr="00737968">
                    <w:rPr>
                      <w:rFonts w:eastAsia="Times New Roman"/>
                      <w:kern w:val="0"/>
                      <w:sz w:val="20"/>
                      <w:lang w:eastAsia="en-US"/>
                    </w:rPr>
                    <w:t xml:space="preserve"> is given by the higher-layer parameter </w:t>
                  </w:r>
                  <w:r w:rsidRPr="00737968">
                    <w:rPr>
                      <w:rFonts w:eastAsia="Times New Roman"/>
                      <w:i/>
                      <w:iCs/>
                      <w:kern w:val="0"/>
                      <w:sz w:val="20"/>
                      <w:lang w:eastAsia="en-US"/>
                    </w:rPr>
                    <w:t>prach-ConfigurationPeriodScaling</w:t>
                  </w:r>
                  <w:r w:rsidRPr="00737968">
                    <w:rPr>
                      <w:rFonts w:eastAsia="Times New Roman"/>
                      <w:kern w:val="0"/>
                      <w:sz w:val="20"/>
                      <w:lang w:eastAsia="en-US"/>
                    </w:rPr>
                    <w:t xml:space="preserve"> and the IAB node does not expect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kern w:val="0"/>
                            <w:sz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kern w:val="0"/>
                            <w:sz w:val="20"/>
                            <w:lang w:val="en-GB" w:eastAsia="en-US"/>
                          </w:rPr>
                          <m:t>x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Times New Roman"/>
                            <w:kern w:val="0"/>
                            <w:sz w:val="20"/>
                            <w:lang w:eastAsia="en-US"/>
                          </w:rPr>
                          <m:t>IAB</m:t>
                        </m:r>
                      </m:sub>
                    </m:sSub>
                  </m:oMath>
                  <w:r w:rsidRPr="00737968">
                    <w:rPr>
                      <w:rFonts w:eastAsia="Times New Roman"/>
                      <w:kern w:val="0"/>
                      <w:sz w:val="20"/>
                      <w:lang w:val="en-GB" w:eastAsia="en-US"/>
                    </w:rPr>
                    <w:t xml:space="preserve"> to be larger than 64</w:t>
                  </w:r>
                  <w:r w:rsidRPr="00737968">
                    <w:rPr>
                      <w:rFonts w:eastAsia="Times New Roman"/>
                      <w:kern w:val="0"/>
                      <w:sz w:val="20"/>
                      <w:lang w:eastAsia="en-US"/>
                    </w:rPr>
                    <w:t>;</w:t>
                  </w:r>
                </w:p>
                <w:p w:rsidR="00A44B9D" w:rsidRPr="00737968" w:rsidRDefault="00A44B9D" w:rsidP="00737968">
                  <w:pPr>
                    <w:spacing w:beforeLines="0" w:afterLines="0" w:line="240" w:lineRule="auto"/>
                    <w:ind w:left="568" w:hanging="284"/>
                    <w:jc w:val="left"/>
                    <w:rPr>
                      <w:rFonts w:eastAsia="Times New Roman"/>
                      <w:kern w:val="0"/>
                      <w:sz w:val="20"/>
                      <w:lang w:val="en-GB" w:eastAsia="en-US"/>
                    </w:rPr>
                  </w:pPr>
                  <w:r>
                    <w:rPr>
                      <w:rFonts w:eastAsia="Times New Roman"/>
                      <w:kern w:val="0"/>
                      <w:sz w:val="20"/>
                      <w:lang w:val="en-GB" w:eastAsia="en-US"/>
                    </w:rPr>
                    <w:t xml:space="preserve">- </w:t>
                  </w:r>
                  <w:r w:rsidRPr="00737968">
                    <w:rPr>
                      <w:rFonts w:eastAsia="Times New Roman"/>
                      <w:kern w:val="0"/>
                      <w:sz w:val="20"/>
                      <w:lang w:val="en-GB" w:eastAsia="en-US"/>
                    </w:rPr>
                    <w:t xml:space="preserve">if the higher-layer parameter </w:t>
                  </w:r>
                  <w:r w:rsidRPr="00737968">
                    <w:rPr>
                      <w:rFonts w:eastAsia="Times New Roman"/>
                      <w:i/>
                      <w:iCs/>
                      <w:kern w:val="0"/>
                      <w:sz w:val="20"/>
                      <w:lang w:val="en-GB" w:eastAsia="en-US"/>
                    </w:rPr>
                    <w:t>prach-ConfigurationFrameOffset</w:t>
                  </w:r>
                  <w:r w:rsidRPr="00737968">
                    <w:rPr>
                      <w:rFonts w:eastAsia="Times New Roman"/>
                      <w:kern w:val="0"/>
                      <w:sz w:val="20"/>
                      <w:lang w:val="en-GB" w:eastAsia="en-US"/>
                    </w:rPr>
                    <w:t xml:space="preserve"> is configured, the variable </w:t>
                  </w:r>
                  <m:oMath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val="en-GB" w:eastAsia="en-US"/>
                      </w:rPr>
                      <m:t>y</m:t>
                    </m:r>
                  </m:oMath>
                  <w:r w:rsidRPr="00737968">
                    <w:rPr>
                      <w:rFonts w:eastAsia="Times New Roman"/>
                      <w:kern w:val="0"/>
                      <w:sz w:val="20"/>
                      <w:lang w:val="en-GB" w:eastAsia="en-US"/>
                    </w:rPr>
                    <w:t xml:space="preserve"> used in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kern w:val="0"/>
                            <w:sz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kern w:val="0"/>
                            <w:sz w:val="20"/>
                            <w:lang w:val="en-GB" w:eastAsia="en-US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Times New Roman"/>
                            <w:kern w:val="0"/>
                            <w:sz w:val="20"/>
                            <w:lang w:eastAsia="en-US"/>
                          </w:rPr>
                          <m:t>SFN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Times New Roman"/>
                        <w:kern w:val="0"/>
                        <w:sz w:val="20"/>
                        <w:lang w:eastAsia="en-US"/>
                      </w:rPr>
                      <m:t>mod</m:t>
                    </m:r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val="en-GB" w:eastAsia="en-US"/>
                      </w:rPr>
                      <m:t>x</m:t>
                    </m:r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>=</m:t>
                    </m:r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val="en-GB" w:eastAsia="en-US"/>
                      </w:rPr>
                      <m:t>y</m:t>
                    </m:r>
                  </m:oMath>
                  <w:r w:rsidRPr="00737968">
                    <w:rPr>
                      <w:rFonts w:eastAsia="Times New Roman"/>
                      <w:kern w:val="0"/>
                      <w:sz w:val="20"/>
                      <w:lang w:eastAsia="en-US"/>
                    </w:rPr>
                    <w:t xml:space="preserve"> of </w:t>
                  </w:r>
                  <w:r w:rsidRPr="00737968">
                    <w:rPr>
                      <w:rFonts w:eastAsia="Times New Roman"/>
                      <w:kern w:val="0"/>
                      <w:sz w:val="20"/>
                      <w:lang w:val="en-GB" w:eastAsia="en-US"/>
                    </w:rPr>
                    <w:t xml:space="preserve">Tables 6.3.3.2-2 to 6.3.3.2-4 </w:t>
                  </w:r>
                  <w:r w:rsidRPr="00737968">
                    <w:rPr>
                      <w:rFonts w:eastAsia="Times New Roman"/>
                      <w:kern w:val="0"/>
                      <w:sz w:val="20"/>
                      <w:lang w:eastAsia="en-US"/>
                    </w:rPr>
                    <w:t xml:space="preserve">shall be replaced by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kern w:val="0"/>
                            <w:sz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kern w:val="0"/>
                            <w:sz w:val="20"/>
                            <w:lang w:eastAsia="en-US"/>
                          </w:rPr>
                          <m:t>y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kern w:val="0"/>
                            <w:sz w:val="20"/>
                            <w:lang w:eastAsia="en-US"/>
                          </w:rPr>
                          <m:t>IAB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>=</m:t>
                    </m:r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kern w:val="0"/>
                            <w:sz w:val="20"/>
                            <w:lang w:val="en-GB"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kern w:val="0"/>
                            <w:sz w:val="20"/>
                            <w:lang w:eastAsia="en-US"/>
                          </w:rPr>
                          <m:t>y+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kern w:val="0"/>
                            <w:sz w:val="20"/>
                            <w:lang w:eastAsia="en-US"/>
                          </w:rPr>
                          <m:t>Δ</m:t>
                        </m:r>
                        <m:r>
                          <w:rPr>
                            <w:rFonts w:ascii="Cambria Math" w:eastAsia="Times New Roman" w:hAnsi="Cambria Math"/>
                            <w:kern w:val="0"/>
                            <w:sz w:val="20"/>
                            <w:lang w:eastAsia="en-US"/>
                          </w:rPr>
                          <m:t>y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 xml:space="preserve"> mod </m:t>
                    </m:r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>x</m:t>
                    </m:r>
                  </m:oMath>
                  <w:r w:rsidRPr="00737968">
                    <w:rPr>
                      <w:rFonts w:eastAsia="Times New Roman"/>
                      <w:kern w:val="0"/>
                      <w:sz w:val="20"/>
                      <w:lang w:eastAsia="en-US"/>
                    </w:rPr>
                    <w:t xml:space="preserve"> </w:t>
                  </w:r>
                  <w:r w:rsidRPr="00737968">
                    <w:rPr>
                      <w:rFonts w:eastAsia="Times New Roman"/>
                      <w:kern w:val="0"/>
                      <w:sz w:val="20"/>
                      <w:lang w:val="en-GB" w:eastAsia="en-US"/>
                    </w:rPr>
                    <w:t xml:space="preserve">where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kern w:val="0"/>
                        <w:sz w:val="20"/>
                        <w:lang w:val="en-GB" w:eastAsia="en-US"/>
                      </w:rPr>
                      <m:t>Δ</m:t>
                    </m:r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val="en-GB" w:eastAsia="en-US"/>
                      </w:rPr>
                      <m:t>y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kern w:val="0"/>
                        <w:sz w:val="20"/>
                        <w:lang w:val="en-GB" w:eastAsia="en-US"/>
                      </w:rPr>
                      <m:t xml:space="preserve"> </m:t>
                    </m:r>
                  </m:oMath>
                  <w:r w:rsidRPr="00737968">
                    <w:rPr>
                      <w:rFonts w:eastAsia="Times New Roman"/>
                      <w:kern w:val="0"/>
                      <w:sz w:val="20"/>
                      <w:lang w:val="en-GB" w:eastAsia="en-US"/>
                    </w:rPr>
                    <w:t xml:space="preserve"> is given by the higher-layer parameter </w:t>
                  </w:r>
                  <w:r w:rsidRPr="00737968">
                    <w:rPr>
                      <w:rFonts w:eastAsia="Times New Roman"/>
                      <w:i/>
                      <w:kern w:val="0"/>
                      <w:sz w:val="20"/>
                      <w:lang w:val="en-GB" w:eastAsia="en-US"/>
                    </w:rPr>
                    <w:t>prach-ConfigurationFrameOffset</w:t>
                  </w:r>
                  <w:r w:rsidRPr="00737968">
                    <w:rPr>
                      <w:rFonts w:eastAsia="Times New Roman"/>
                      <w:kern w:val="0"/>
                      <w:sz w:val="20"/>
                      <w:lang w:val="en-GB" w:eastAsia="en-US"/>
                    </w:rPr>
                    <w:t xml:space="preserve">, and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kern w:val="0"/>
                        <w:sz w:val="20"/>
                        <w:lang w:val="en-GB" w:eastAsia="en-US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val="en-GB" w:eastAsia="en-US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kern w:val="0"/>
                        <w:sz w:val="20"/>
                        <w:lang w:val="en-GB" w:eastAsia="en-US"/>
                      </w:rPr>
                      <m:t xml:space="preserve"> is the value used in 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kern w:val="0"/>
                            <w:sz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kern w:val="0"/>
                            <w:sz w:val="20"/>
                            <w:lang w:val="en-GB" w:eastAsia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kern w:val="0"/>
                            <w:sz w:val="20"/>
                            <w:lang w:eastAsia="en-US"/>
                          </w:rPr>
                          <m:t>SFN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>mod</m:t>
                    </m:r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val="en-GB" w:eastAsia="en-US"/>
                      </w:rPr>
                      <m:t>x</m:t>
                    </m:r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eastAsia="en-US"/>
                      </w:rPr>
                      <m:t>=</m:t>
                    </m:r>
                    <m:r>
                      <w:rPr>
                        <w:rFonts w:ascii="Cambria Math" w:eastAsia="Times New Roman" w:hAnsi="Cambria Math"/>
                        <w:kern w:val="0"/>
                        <w:sz w:val="20"/>
                        <w:lang w:val="en-GB" w:eastAsia="en-US"/>
                      </w:rPr>
                      <m:t>y</m:t>
                    </m:r>
                  </m:oMath>
                  <w:r w:rsidRPr="00737968">
                    <w:rPr>
                      <w:rFonts w:eastAsia="Times New Roman"/>
                      <w:kern w:val="0"/>
                      <w:sz w:val="20"/>
                      <w:lang w:val="en-GB" w:eastAsia="en-US"/>
                    </w:rPr>
                    <w:t>;</w:t>
                  </w:r>
                </w:p>
                <w:p w:rsidR="00A44B9D" w:rsidRPr="00556BA5" w:rsidRDefault="00A44B9D" w:rsidP="00C375E5">
                  <w:pPr>
                    <w:pStyle w:val="B1"/>
                    <w:spacing w:before="120" w:after="120"/>
                    <w:ind w:left="360" w:hanging="180"/>
                    <w:rPr>
                      <w:sz w:val="20"/>
                    </w:rPr>
                  </w:pPr>
                  <w:r w:rsidRPr="00556BA5">
                    <w:rPr>
                      <w:sz w:val="20"/>
                    </w:rPr>
                    <w:t>-</w:t>
                  </w:r>
                  <w:r w:rsidRPr="00556BA5">
                    <w:rPr>
                      <w:sz w:val="20"/>
                    </w:rPr>
                    <w:tab/>
                    <w:t xml:space="preserve">if the higher-layer parameter </w:t>
                  </w:r>
                  <w:r w:rsidRPr="00556BA5">
                    <w:rPr>
                      <w:i/>
                      <w:iCs/>
                      <w:sz w:val="20"/>
                    </w:rPr>
                    <w:t>prach-ConfigurationSOffset</w:t>
                  </w:r>
                  <w:r w:rsidRPr="00556BA5">
                    <w:rPr>
                      <w:sz w:val="20"/>
                    </w:rPr>
                    <w:t xml:space="preserve"> is configured, the subframe number in Tables 6.3.3.2-2 to 6.3.3.2-3 and the slot number in Table 6.3.3.2-4 shall be replaced by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  <w:sz w:val="20"/>
                          </w:rPr>
                          <m:t>s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</w:rPr>
                      <m:t xml:space="preserve"> mod </m:t>
                    </m:r>
                    <m:r>
                      <w:rPr>
                        <w:rFonts w:ascii="Cambria Math" w:hAnsi="Cambria Math"/>
                        <w:sz w:val="20"/>
                      </w:rPr>
                      <m:t>L</m:t>
                    </m:r>
                  </m:oMath>
                  <w:r w:rsidRPr="00556BA5">
                    <w:rPr>
                      <w:sz w:val="20"/>
                    </w:rPr>
                    <w:t xml:space="preserve"> where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sub>
                    </m:sSub>
                  </m:oMath>
                  <w:r w:rsidRPr="00556BA5">
                    <w:rPr>
                      <w:sz w:val="20"/>
                    </w:rPr>
                    <w:t xml:space="preserve"> is the slot or subframe number,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Δ</m:t>
                    </m:r>
                    <m:r>
                      <w:rPr>
                        <w:rFonts w:ascii="Cambria Math" w:hAnsi="Cambria Math"/>
                        <w:sz w:val="20"/>
                      </w:rPr>
                      <m:t>s∈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0,1,…,L-1</m:t>
                        </m:r>
                      </m:e>
                    </m:d>
                  </m:oMath>
                  <w:r w:rsidRPr="00556BA5">
                    <w:rPr>
                      <w:sz w:val="20"/>
                    </w:rPr>
                    <w:t xml:space="preserve"> is given by the higher-layer parameter </w:t>
                  </w:r>
                  <w:r w:rsidRPr="00556BA5">
                    <w:rPr>
                      <w:i/>
                      <w:sz w:val="20"/>
                    </w:rPr>
                    <w:t>prach-ConfigurationSOffset</w:t>
                  </w:r>
                  <w:r w:rsidRPr="00556BA5">
                    <w:rPr>
                      <w:sz w:val="20"/>
                    </w:rPr>
                    <w:t xml:space="preserve">,  and </w:t>
                  </w:r>
                  <m:oMath>
                    <m:r>
                      <w:rPr>
                        <w:rFonts w:ascii="Cambria Math" w:hAnsi="Cambria Math"/>
                        <w:sz w:val="20"/>
                      </w:rPr>
                      <m:t>L</m:t>
                    </m:r>
                  </m:oMath>
                  <w:r w:rsidRPr="00556BA5">
                    <w:rPr>
                      <w:sz w:val="20"/>
                    </w:rPr>
                    <w:t xml:space="preserve"> is the number of subframes in a frame in Tables 6.3.3.2-2 to 6.3.3.2-3 and the number of slots in a frame in Table 6.3.3.2-4.</w:t>
                  </w:r>
                </w:p>
                <w:p w:rsidR="00A44B9D" w:rsidRDefault="00A44B9D" w:rsidP="00C375E5">
                  <w:pPr>
                    <w:spacing w:before="120" w:after="120"/>
                    <w:ind w:left="360" w:hanging="180"/>
                  </w:pPr>
                </w:p>
              </w:txbxContent>
            </v:textbox>
          </v:shape>
        </w:pict>
      </w:r>
    </w:p>
    <w:p w:rsidR="00880060" w:rsidRDefault="00880060" w:rsidP="00FA6363">
      <w:pPr>
        <w:spacing w:before="120" w:after="120"/>
        <w:rPr>
          <w:szCs w:val="22"/>
        </w:rPr>
      </w:pPr>
    </w:p>
    <w:p w:rsidR="00880060" w:rsidRDefault="00880060" w:rsidP="00FA6363">
      <w:pPr>
        <w:spacing w:before="120" w:after="120"/>
        <w:rPr>
          <w:szCs w:val="22"/>
        </w:rPr>
      </w:pPr>
    </w:p>
    <w:p w:rsidR="00880060" w:rsidRDefault="00880060">
      <w:pPr>
        <w:spacing w:before="120" w:after="120"/>
        <w:rPr>
          <w:sz w:val="20"/>
          <w:szCs w:val="22"/>
        </w:rPr>
      </w:pPr>
    </w:p>
    <w:p w:rsidR="00C375E5" w:rsidRDefault="00C375E5">
      <w:pPr>
        <w:pStyle w:val="YJ-Proposal"/>
        <w:numPr>
          <w:ilvl w:val="0"/>
          <w:numId w:val="0"/>
        </w:numPr>
        <w:spacing w:before="120" w:after="120"/>
        <w:rPr>
          <w:szCs w:val="22"/>
          <w:lang w:val="en-US" w:eastAsia="zh-CN"/>
        </w:rPr>
      </w:pPr>
      <w:bookmarkStart w:id="0" w:name="_Toc16151"/>
    </w:p>
    <w:p w:rsidR="00737968" w:rsidRDefault="00737968">
      <w:pPr>
        <w:pStyle w:val="YJ-Proposal"/>
        <w:numPr>
          <w:ilvl w:val="0"/>
          <w:numId w:val="0"/>
        </w:numPr>
        <w:spacing w:before="120" w:after="120"/>
        <w:rPr>
          <w:b w:val="0"/>
          <w:i w:val="0"/>
          <w:szCs w:val="22"/>
          <w:lang w:val="en-US" w:eastAsia="zh-CN"/>
        </w:rPr>
      </w:pPr>
    </w:p>
    <w:p w:rsidR="00737968" w:rsidRDefault="00737968">
      <w:pPr>
        <w:pStyle w:val="YJ-Proposal"/>
        <w:numPr>
          <w:ilvl w:val="0"/>
          <w:numId w:val="0"/>
        </w:numPr>
        <w:spacing w:before="120" w:after="120"/>
        <w:rPr>
          <w:b w:val="0"/>
          <w:i w:val="0"/>
          <w:szCs w:val="22"/>
          <w:lang w:val="en-US" w:eastAsia="zh-CN"/>
        </w:rPr>
      </w:pPr>
    </w:p>
    <w:p w:rsidR="00737968" w:rsidRDefault="00737968">
      <w:pPr>
        <w:pStyle w:val="YJ-Proposal"/>
        <w:numPr>
          <w:ilvl w:val="0"/>
          <w:numId w:val="0"/>
        </w:numPr>
        <w:spacing w:before="120" w:after="120"/>
        <w:rPr>
          <w:b w:val="0"/>
          <w:i w:val="0"/>
          <w:szCs w:val="22"/>
          <w:lang w:val="en-US" w:eastAsia="zh-CN"/>
        </w:rPr>
      </w:pPr>
    </w:p>
    <w:p w:rsidR="00737968" w:rsidRDefault="00737968">
      <w:pPr>
        <w:pStyle w:val="YJ-Proposal"/>
        <w:numPr>
          <w:ilvl w:val="0"/>
          <w:numId w:val="0"/>
        </w:numPr>
        <w:spacing w:before="120" w:after="120"/>
        <w:rPr>
          <w:b w:val="0"/>
          <w:i w:val="0"/>
          <w:szCs w:val="22"/>
          <w:lang w:val="en-US" w:eastAsia="zh-CN"/>
        </w:rPr>
      </w:pPr>
    </w:p>
    <w:p w:rsidR="00737968" w:rsidRDefault="00737968">
      <w:pPr>
        <w:pStyle w:val="YJ-Proposal"/>
        <w:numPr>
          <w:ilvl w:val="0"/>
          <w:numId w:val="0"/>
        </w:numPr>
        <w:spacing w:before="120" w:after="120"/>
        <w:rPr>
          <w:b w:val="0"/>
          <w:i w:val="0"/>
          <w:szCs w:val="22"/>
          <w:lang w:val="en-US" w:eastAsia="zh-CN"/>
        </w:rPr>
      </w:pPr>
    </w:p>
    <w:p w:rsidR="00C375E5" w:rsidRDefault="00C375E5">
      <w:pPr>
        <w:pStyle w:val="YJ-Proposal"/>
        <w:numPr>
          <w:ilvl w:val="0"/>
          <w:numId w:val="0"/>
        </w:numPr>
        <w:spacing w:before="120" w:after="120"/>
        <w:rPr>
          <w:b w:val="0"/>
          <w:i w:val="0"/>
          <w:szCs w:val="22"/>
          <w:lang w:val="en-US" w:eastAsia="zh-CN"/>
        </w:rPr>
      </w:pPr>
      <w:r>
        <w:rPr>
          <w:b w:val="0"/>
          <w:i w:val="0"/>
          <w:szCs w:val="22"/>
          <w:lang w:val="en-US" w:eastAsia="zh-CN"/>
        </w:rPr>
        <w:t xml:space="preserve">There are two issues in above description. </w:t>
      </w:r>
    </w:p>
    <w:p w:rsidR="00357195" w:rsidRPr="00357195" w:rsidRDefault="00690FF6" w:rsidP="00C375E5">
      <w:pPr>
        <w:pStyle w:val="YJ-Proposal"/>
        <w:numPr>
          <w:ilvl w:val="0"/>
          <w:numId w:val="9"/>
        </w:numPr>
        <w:spacing w:before="120" w:after="120"/>
        <w:ind w:left="360"/>
        <w:rPr>
          <w:b w:val="0"/>
          <w:i w:val="0"/>
          <w:szCs w:val="22"/>
          <w:lang w:val="en-US" w:eastAsia="zh-CN"/>
        </w:rPr>
      </w:pPr>
      <w:r>
        <w:rPr>
          <w:b w:val="0"/>
          <w:i w:val="0"/>
          <w:szCs w:val="22"/>
          <w:lang w:val="en-US" w:eastAsia="zh-CN"/>
        </w:rPr>
        <w:t>It may</w:t>
      </w:r>
      <w:r w:rsidR="00C375E5">
        <w:rPr>
          <w:b w:val="0"/>
          <w:i w:val="0"/>
          <w:szCs w:val="22"/>
          <w:lang w:val="en-US" w:eastAsia="zh-CN"/>
        </w:rPr>
        <w:t xml:space="preserve"> not 100% </w:t>
      </w:r>
      <w:r>
        <w:rPr>
          <w:b w:val="0"/>
          <w:i w:val="0"/>
          <w:szCs w:val="22"/>
          <w:lang w:val="en-US" w:eastAsia="zh-CN"/>
        </w:rPr>
        <w:t>clarify</w:t>
      </w:r>
      <w:r w:rsidR="00C375E5">
        <w:rPr>
          <w:b w:val="0"/>
          <w:i w:val="0"/>
          <w:szCs w:val="22"/>
          <w:lang w:val="en-US" w:eastAsia="zh-CN"/>
        </w:rPr>
        <w:t xml:space="preserve"> the </w:t>
      </w:r>
      <w:r w:rsidR="00357195">
        <w:rPr>
          <w:b w:val="0"/>
          <w:i w:val="0"/>
          <w:szCs w:val="22"/>
          <w:lang w:val="en-US" w:eastAsia="zh-CN"/>
        </w:rPr>
        <w:t xml:space="preserve">RAN1 </w:t>
      </w:r>
      <w:r w:rsidR="00C375E5">
        <w:rPr>
          <w:b w:val="0"/>
          <w:i w:val="0"/>
          <w:szCs w:val="22"/>
          <w:lang w:val="en-US" w:eastAsia="zh-CN"/>
        </w:rPr>
        <w:t>intention by saying “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 w:rsidR="00C375E5">
        <w:t xml:space="preserve"> is </w:t>
      </w:r>
      <w:r w:rsidR="00357195">
        <w:t>….</w:t>
      </w:r>
      <w:r w:rsidR="00C375E5">
        <w:t>the number of slots in a frame in Table 6.3.3.2-4</w:t>
      </w:r>
      <w:r w:rsidR="00357195">
        <w:rPr>
          <w:b w:val="0"/>
          <w:i w:val="0"/>
          <w:szCs w:val="22"/>
          <w:lang w:val="en-US" w:eastAsia="zh-CN"/>
        </w:rPr>
        <w:t xml:space="preserve">”, because the </w:t>
      </w:r>
      <w:r w:rsidR="00B76A4B">
        <w:rPr>
          <w:b w:val="0"/>
          <w:i w:val="0"/>
          <w:szCs w:val="22"/>
          <w:lang w:val="en-US" w:eastAsia="zh-CN"/>
        </w:rPr>
        <w:t xml:space="preserve">table itself does not </w:t>
      </w:r>
      <w:r>
        <w:rPr>
          <w:b w:val="0"/>
          <w:i w:val="0"/>
          <w:szCs w:val="22"/>
          <w:lang w:val="en-US" w:eastAsia="zh-CN"/>
        </w:rPr>
        <w:t xml:space="preserve">indicate the </w:t>
      </w:r>
      <w:r w:rsidR="00357195">
        <w:rPr>
          <w:b w:val="0"/>
          <w:i w:val="0"/>
          <w:szCs w:val="22"/>
          <w:lang w:val="en-US" w:eastAsia="zh-CN"/>
        </w:rPr>
        <w:t>nu</w:t>
      </w:r>
      <w:r w:rsidR="00737968">
        <w:rPr>
          <w:b w:val="0"/>
          <w:i w:val="0"/>
          <w:szCs w:val="22"/>
          <w:lang w:val="en-US" w:eastAsia="zh-CN"/>
        </w:rPr>
        <w:t>mber of slots in a frame</w:t>
      </w:r>
      <w:r>
        <w:rPr>
          <w:b w:val="0"/>
          <w:i w:val="0"/>
          <w:szCs w:val="22"/>
          <w:lang w:val="en-US" w:eastAsia="zh-CN"/>
        </w:rPr>
        <w:t xml:space="preserve">, which is in general </w:t>
      </w:r>
      <w:r w:rsidR="00737968">
        <w:rPr>
          <w:b w:val="0"/>
          <w:i w:val="0"/>
          <w:szCs w:val="22"/>
          <w:lang w:val="en-US" w:eastAsia="zh-CN"/>
        </w:rPr>
        <w:t>SCS-</w:t>
      </w:r>
      <w:r w:rsidR="00357195">
        <w:rPr>
          <w:b w:val="0"/>
          <w:i w:val="0"/>
          <w:szCs w:val="22"/>
          <w:lang w:val="en-US" w:eastAsia="zh-CN"/>
        </w:rPr>
        <w:t xml:space="preserve">dependent and may not be always equal to 40 in FR2. In contrast, </w:t>
      </w:r>
      <w:r w:rsidR="00737968">
        <w:rPr>
          <w:b w:val="0"/>
          <w:i w:val="0"/>
          <w:szCs w:val="22"/>
          <w:lang w:val="en-US" w:eastAsia="zh-CN"/>
        </w:rPr>
        <w:t>the slot number</w:t>
      </w:r>
      <w:r w:rsidR="00357195">
        <w:rPr>
          <w:b w:val="0"/>
          <w:i w:val="0"/>
          <w:szCs w:val="22"/>
          <w:lang w:val="en-US" w:eastAsia="zh-CN"/>
        </w:rPr>
        <w:t xml:space="preserve"> in Table 6.3.3.2-4</w:t>
      </w:r>
      <w:r w:rsidR="00737968">
        <w:rPr>
          <w:b w:val="0"/>
          <w:i w:val="0"/>
          <w:szCs w:val="22"/>
          <w:lang w:val="en-US" w:eastAsia="zh-CN"/>
        </w:rPr>
        <w:t xml:space="preserve"> is always less than 40, i.e., in modulo of 40</w:t>
      </w:r>
      <w:r w:rsidR="00357195">
        <w:rPr>
          <w:b w:val="0"/>
          <w:i w:val="0"/>
          <w:szCs w:val="22"/>
          <w:lang w:val="en-US" w:eastAsia="zh-CN"/>
        </w:rPr>
        <w:t xml:space="preserve">. </w:t>
      </w:r>
      <w:r w:rsidR="00186CDE">
        <w:rPr>
          <w:b w:val="0"/>
          <w:i w:val="0"/>
          <w:szCs w:val="22"/>
          <w:lang w:val="en-US" w:eastAsia="zh-CN"/>
        </w:rPr>
        <w:t>It is also not clear enough whether t</w:t>
      </w:r>
      <w:r>
        <w:rPr>
          <w:b w:val="0"/>
          <w:i w:val="0"/>
          <w:szCs w:val="22"/>
          <w:lang w:val="en-US" w:eastAsia="zh-CN"/>
        </w:rPr>
        <w:t>he existing specification text of “</w:t>
      </w:r>
      <w:r>
        <w:t xml:space="preserve">For the purpose of slot numbering in the tables, the following subcarrier spacing shall be assumed: </w:t>
      </w:r>
      <w:r w:rsidR="00186CDE">
        <w:rPr>
          <w:rFonts w:eastAsia="Batang"/>
        </w:rPr>
        <w:t xml:space="preserve">15 kHz for FR1; </w:t>
      </w:r>
      <w:r w:rsidR="00186CDE">
        <w:t>60 kHz for FR2</w:t>
      </w:r>
      <w:r>
        <w:rPr>
          <w:b w:val="0"/>
          <w:i w:val="0"/>
          <w:szCs w:val="22"/>
          <w:lang w:val="en-US" w:eastAsia="zh-CN"/>
        </w:rPr>
        <w:t>”</w:t>
      </w:r>
      <w:r w:rsidR="00A44B9D">
        <w:rPr>
          <w:b w:val="0"/>
          <w:i w:val="0"/>
          <w:szCs w:val="22"/>
          <w:lang w:val="en-US" w:eastAsia="zh-CN"/>
        </w:rPr>
        <w:t>, which was put there for just “slot numbering” in UE specification,</w:t>
      </w:r>
      <w:r w:rsidR="00186CDE">
        <w:rPr>
          <w:b w:val="0"/>
          <w:i w:val="0"/>
          <w:szCs w:val="22"/>
          <w:lang w:val="en-US" w:eastAsia="zh-CN"/>
        </w:rPr>
        <w:t xml:space="preserve"> is applicable to the total number of slot</w:t>
      </w:r>
      <w:r w:rsidR="00F56B0D">
        <w:rPr>
          <w:b w:val="0"/>
          <w:i w:val="0"/>
          <w:szCs w:val="22"/>
          <w:lang w:val="en-US" w:eastAsia="zh-CN"/>
        </w:rPr>
        <w:t>s</w:t>
      </w:r>
      <w:r w:rsidR="00186CDE">
        <w:rPr>
          <w:b w:val="0"/>
          <w:i w:val="0"/>
          <w:szCs w:val="22"/>
          <w:lang w:val="en-US" w:eastAsia="zh-CN"/>
        </w:rPr>
        <w:t xml:space="preserve"> per frame in case of IAB MT.</w:t>
      </w:r>
      <w:r>
        <w:rPr>
          <w:b w:val="0"/>
          <w:i w:val="0"/>
          <w:szCs w:val="22"/>
          <w:lang w:val="en-US" w:eastAsia="zh-CN"/>
        </w:rPr>
        <w:t xml:space="preserve"> </w:t>
      </w:r>
      <w:r w:rsidR="00357195">
        <w:rPr>
          <w:b w:val="0"/>
          <w:i w:val="0"/>
          <w:szCs w:val="22"/>
          <w:lang w:val="en-US" w:eastAsia="zh-CN"/>
        </w:rPr>
        <w:t xml:space="preserve">Therefore, it is proposed to revise the text for L as following: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 w:rsidR="00357195">
        <w:t xml:space="preserve"> equals to 10 for subframe determination and 40 for slot determination.</w:t>
      </w:r>
      <w:r w:rsidR="00A44B9D">
        <w:rPr>
          <w:b w:val="0"/>
          <w:i w:val="0"/>
        </w:rPr>
        <w:t xml:space="preserve"> </w:t>
      </w:r>
    </w:p>
    <w:p w:rsidR="00A51392" w:rsidRPr="00D2308B" w:rsidRDefault="00A51392" w:rsidP="00D2308B">
      <w:pPr>
        <w:pStyle w:val="YJ-Proposal"/>
        <w:numPr>
          <w:ilvl w:val="0"/>
          <w:numId w:val="9"/>
        </w:numPr>
        <w:spacing w:before="120" w:after="120"/>
        <w:ind w:left="360"/>
        <w:rPr>
          <w:szCs w:val="22"/>
          <w:lang w:val="en-US" w:eastAsia="zh-CN"/>
        </w:rPr>
      </w:pPr>
      <w:r w:rsidRPr="00556BA5">
        <w:rPr>
          <w:b w:val="0"/>
          <w:i w:val="0"/>
          <w:szCs w:val="22"/>
          <w:lang w:val="en-US" w:eastAsia="zh-CN"/>
        </w:rPr>
        <w:t>For t</w:t>
      </w:r>
      <w:r w:rsidR="00737968" w:rsidRPr="00556BA5">
        <w:rPr>
          <w:b w:val="0"/>
          <w:i w:val="0"/>
          <w:szCs w:val="22"/>
          <w:lang w:val="en-US" w:eastAsia="zh-CN"/>
        </w:rPr>
        <w:t xml:space="preserve">he specification texts </w:t>
      </w:r>
      <w:r w:rsidR="00A44B9D" w:rsidRPr="00556BA5">
        <w:rPr>
          <w:b w:val="0"/>
          <w:i w:val="0"/>
          <w:szCs w:val="22"/>
          <w:lang w:val="en-US" w:eastAsia="zh-CN"/>
        </w:rPr>
        <w:t xml:space="preserve">(the first two “if” paragraphs) </w:t>
      </w:r>
      <w:r w:rsidR="00737968" w:rsidRPr="00556BA5">
        <w:rPr>
          <w:b w:val="0"/>
          <w:i w:val="0"/>
          <w:szCs w:val="22"/>
          <w:lang w:val="en-US" w:eastAsia="zh-CN"/>
        </w:rPr>
        <w:t xml:space="preserve">on x and y in the formula </w:t>
      </w:r>
      <m:oMath>
        <m:sSub>
          <m:sSubPr>
            <m:ctrlPr>
              <w:rPr>
                <w:rFonts w:ascii="Cambria Math" w:hAnsi="Cambria Math"/>
                <w:b w:val="0"/>
                <w:i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b w:val="0"/>
                <w:i w:val="0"/>
                <w:lang w:val="en-US"/>
              </w:rPr>
              <m:t>SFN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  <m:r>
          <m:rPr>
            <m:nor/>
          </m:rPr>
          <w:rPr>
            <w:b w:val="0"/>
            <w:i w:val="0"/>
            <w:lang w:val="en-US"/>
          </w:rPr>
          <m:t>mod</m:t>
        </m:r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x</m:t>
        </m:r>
        <m:r>
          <m:rPr>
            <m:sty m:val="bi"/>
          </m:rPr>
          <w:rPr>
            <w:rFonts w:ascii="Cambria Math" w:hAnsi="Cambria Math"/>
            <w:lang w:val="en-US"/>
          </w:rPr>
          <m:t>=</m:t>
        </m:r>
        <m:r>
          <m:rPr>
            <m:sty m:val="bi"/>
          </m:rPr>
          <w:rPr>
            <w:rFonts w:ascii="Cambria Math" w:hAnsi="Cambria Math"/>
          </w:rPr>
          <m:t>y</m:t>
        </m:r>
      </m:oMath>
      <w:r w:rsidR="00737968" w:rsidRPr="00556BA5">
        <w:rPr>
          <w:b w:val="0"/>
          <w:i w:val="0"/>
        </w:rPr>
        <w:t xml:space="preserve">, </w:t>
      </w:r>
      <w:r w:rsidRPr="00556BA5">
        <w:rPr>
          <w:b w:val="0"/>
          <w:i w:val="0"/>
        </w:rPr>
        <w:t>the wording</w:t>
      </w:r>
      <w:r>
        <w:rPr>
          <w:b w:val="0"/>
          <w:i w:val="0"/>
        </w:rPr>
        <w:t xml:space="preserve"> “replacement</w:t>
      </w:r>
      <w:r w:rsidR="00737968">
        <w:rPr>
          <w:b w:val="0"/>
          <w:i w:val="0"/>
        </w:rPr>
        <w:t xml:space="preserve">” </w:t>
      </w:r>
      <w:r>
        <w:rPr>
          <w:b w:val="0"/>
          <w:i w:val="0"/>
        </w:rPr>
        <w:t>refer</w:t>
      </w:r>
      <w:r w:rsidR="00D2308B">
        <w:rPr>
          <w:b w:val="0"/>
          <w:i w:val="0"/>
        </w:rPr>
        <w:t>s</w:t>
      </w:r>
      <w:r>
        <w:rPr>
          <w:b w:val="0"/>
          <w:i w:val="0"/>
        </w:rPr>
        <w:t xml:space="preserve"> to “variable replacement” that </w:t>
      </w:r>
      <w:r w:rsidR="00737968">
        <w:rPr>
          <w:b w:val="0"/>
          <w:i w:val="0"/>
        </w:rPr>
        <w:t xml:space="preserve">occur inside the formula but not </w:t>
      </w:r>
      <w:r>
        <w:rPr>
          <w:b w:val="0"/>
          <w:i w:val="0"/>
        </w:rPr>
        <w:t xml:space="preserve">as “value replacement” </w:t>
      </w:r>
      <w:r w:rsidR="00737968">
        <w:rPr>
          <w:b w:val="0"/>
          <w:i w:val="0"/>
        </w:rPr>
        <w:t xml:space="preserve">in the table rows </w:t>
      </w:r>
      <w:r w:rsidR="00737968" w:rsidRPr="00737968">
        <w:rPr>
          <w:b w:val="0"/>
          <w:i w:val="0"/>
        </w:rPr>
        <w:t>o</w:t>
      </w:r>
      <w:r>
        <w:rPr>
          <w:b w:val="0"/>
          <w:i w:val="0"/>
        </w:rPr>
        <w:t xml:space="preserve">f Tables 6.3.3.2-2 to 6.3.3.2-4. </w:t>
      </w:r>
      <w:r w:rsidRPr="00A51392">
        <w:rPr>
          <w:b w:val="0"/>
          <w:i w:val="0"/>
        </w:rPr>
        <w:t xml:space="preserve">In contrast, </w:t>
      </w:r>
      <w:r>
        <w:rPr>
          <w:b w:val="0"/>
          <w:i w:val="0"/>
        </w:rPr>
        <w:t>t</w:t>
      </w:r>
      <w:r w:rsidR="00737968" w:rsidRPr="00A51392">
        <w:rPr>
          <w:b w:val="0"/>
          <w:i w:val="0"/>
        </w:rPr>
        <w:t xml:space="preserve">he </w:t>
      </w:r>
      <w:r w:rsidR="00737968">
        <w:rPr>
          <w:b w:val="0"/>
          <w:i w:val="0"/>
        </w:rPr>
        <w:t xml:space="preserve">corresponding text </w:t>
      </w:r>
      <w:r w:rsidR="00A44B9D">
        <w:rPr>
          <w:b w:val="0"/>
          <w:i w:val="0"/>
        </w:rPr>
        <w:t>(the 3</w:t>
      </w:r>
      <w:r w:rsidR="00A44B9D" w:rsidRPr="00A44B9D">
        <w:rPr>
          <w:b w:val="0"/>
          <w:i w:val="0"/>
          <w:vertAlign w:val="superscript"/>
        </w:rPr>
        <w:t>rd</w:t>
      </w:r>
      <w:r w:rsidR="00A44B9D">
        <w:rPr>
          <w:b w:val="0"/>
          <w:i w:val="0"/>
        </w:rPr>
        <w:t xml:space="preserve"> “if” paragraph) </w:t>
      </w:r>
      <w:r w:rsidR="00737968">
        <w:rPr>
          <w:b w:val="0"/>
          <w:i w:val="0"/>
        </w:rPr>
        <w:t>o</w:t>
      </w:r>
      <w:r>
        <w:rPr>
          <w:b w:val="0"/>
          <w:i w:val="0"/>
        </w:rPr>
        <w:t>n subframe/slot number talk</w:t>
      </w:r>
      <w:r w:rsidR="00A44B9D">
        <w:rPr>
          <w:b w:val="0"/>
          <w:i w:val="0"/>
        </w:rPr>
        <w:t>s</w:t>
      </w:r>
      <w:r>
        <w:rPr>
          <w:b w:val="0"/>
          <w:i w:val="0"/>
        </w:rPr>
        <w:t xml:space="preserve"> about a “value replacement</w:t>
      </w:r>
      <w:r w:rsidR="00737968">
        <w:rPr>
          <w:b w:val="0"/>
          <w:i w:val="0"/>
        </w:rPr>
        <w:t>” occur</w:t>
      </w:r>
      <w:r w:rsidR="00D2308B">
        <w:rPr>
          <w:b w:val="0"/>
          <w:i w:val="0"/>
        </w:rPr>
        <w:t>ring</w:t>
      </w:r>
      <w:r w:rsidR="00737968">
        <w:rPr>
          <w:b w:val="0"/>
          <w:i w:val="0"/>
        </w:rPr>
        <w:t xml:space="preserve"> inside the configuration table rows. </w:t>
      </w:r>
      <w:r>
        <w:rPr>
          <w:b w:val="0"/>
          <w:i w:val="0"/>
        </w:rPr>
        <w:t xml:space="preserve">Such </w:t>
      </w:r>
      <w:r>
        <w:rPr>
          <w:b w:val="0"/>
          <w:i w:val="0"/>
        </w:rPr>
        <w:lastRenderedPageBreak/>
        <w:t xml:space="preserve">difference may not be easy for people to catch up. </w:t>
      </w:r>
      <w:r w:rsidR="00D2308B">
        <w:rPr>
          <w:b w:val="0"/>
          <w:i w:val="0"/>
        </w:rPr>
        <w:t xml:space="preserve">It is proposed to unify the description </w:t>
      </w:r>
      <w:r w:rsidR="008E0A62">
        <w:rPr>
          <w:b w:val="0"/>
          <w:i w:val="0"/>
        </w:rPr>
        <w:t>logic</w:t>
      </w:r>
      <w:r w:rsidR="00D2308B">
        <w:rPr>
          <w:b w:val="0"/>
          <w:i w:val="0"/>
        </w:rPr>
        <w:t xml:space="preserve"> as following, i.e., the replacement does not apply to the values in the table</w:t>
      </w:r>
      <w:r w:rsidR="008E0A62">
        <w:rPr>
          <w:b w:val="0"/>
          <w:i w:val="0"/>
        </w:rPr>
        <w:t xml:space="preserve"> row</w:t>
      </w:r>
      <w:r w:rsidR="00D2308B">
        <w:rPr>
          <w:b w:val="0"/>
          <w:i w:val="0"/>
        </w:rPr>
        <w:t xml:space="preserve">s. </w:t>
      </w:r>
    </w:p>
    <w:p w:rsidR="00D2308B" w:rsidRPr="00D6701D" w:rsidRDefault="00D2308B" w:rsidP="00D6701D">
      <w:pPr>
        <w:pStyle w:val="B1"/>
        <w:spacing w:before="120" w:after="120"/>
        <w:ind w:leftChars="302" w:left="810" w:hangingChars="88" w:hanging="176"/>
        <w:rPr>
          <w:color w:val="FF0000"/>
          <w:sz w:val="20"/>
        </w:rPr>
      </w:pPr>
      <w:r w:rsidRPr="00D6701D">
        <w:rPr>
          <w:sz w:val="20"/>
        </w:rPr>
        <w:t>-</w:t>
      </w:r>
      <w:r w:rsidRPr="00D6701D">
        <w:rPr>
          <w:sz w:val="20"/>
        </w:rPr>
        <w:tab/>
        <w:t xml:space="preserve">if the higher-layer parameter </w:t>
      </w:r>
      <w:r w:rsidRPr="00D6701D">
        <w:rPr>
          <w:i/>
          <w:iCs/>
          <w:sz w:val="20"/>
        </w:rPr>
        <w:t>prach-ConfigurationSOffset</w:t>
      </w:r>
      <w:r w:rsidRPr="00D6701D">
        <w:rPr>
          <w:sz w:val="20"/>
        </w:rPr>
        <w:t xml:space="preserve"> is configured, the subframe number </w:t>
      </w:r>
      <w:r w:rsidRPr="00D6701D">
        <w:rPr>
          <w:strike/>
          <w:color w:val="FF0000"/>
          <w:sz w:val="20"/>
        </w:rPr>
        <w:t>in Tables 6.3.3.2-2 to 6.3.3.2-3</w:t>
      </w:r>
      <w:r w:rsidRPr="00D6701D">
        <w:rPr>
          <w:sz w:val="20"/>
        </w:rPr>
        <w:t xml:space="preserve"> and the slot number </w:t>
      </w:r>
      <w:r w:rsidRPr="00D6701D">
        <w:rPr>
          <w:strike/>
          <w:color w:val="FF0000"/>
          <w:sz w:val="20"/>
        </w:rPr>
        <w:t>in Table 6.3.3.2-4</w:t>
      </w:r>
      <w:r w:rsidRPr="00D6701D">
        <w:rPr>
          <w:color w:val="FF0000"/>
          <w:sz w:val="20"/>
        </w:rPr>
        <w:t xml:space="preserve"> </w:t>
      </w:r>
      <w:r w:rsidR="00FD1AD5" w:rsidRPr="00D6701D">
        <w:rPr>
          <w:color w:val="FF0000"/>
          <w:sz w:val="20"/>
        </w:rPr>
        <w:t>for PRACH time resources</w:t>
      </w:r>
      <w:r w:rsidR="00FD1AD5" w:rsidRPr="00D6701D">
        <w:rPr>
          <w:sz w:val="20"/>
        </w:rPr>
        <w:t xml:space="preserve"> </w:t>
      </w:r>
      <w:r w:rsidRPr="00D6701D">
        <w:rPr>
          <w:sz w:val="20"/>
        </w:rPr>
        <w:t xml:space="preserve">shall be replaced by </w:t>
      </w:r>
      <m:oMath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0"/>
                  </w:rPr>
                  <m:t>n</m:t>
                </m:r>
              </m:sub>
            </m:sSub>
            <m:r>
              <w:rPr>
                <w:rFonts w:ascii="Cambria Math" w:hAnsi="Cambria Math"/>
                <w:sz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</w:rPr>
              <m:t>Δ</m:t>
            </m:r>
            <m:r>
              <w:rPr>
                <w:rFonts w:ascii="Cambria Math" w:hAnsi="Cambria Math"/>
                <w:sz w:val="20"/>
              </w:rPr>
              <m:t>s</m:t>
            </m:r>
          </m:e>
        </m:d>
        <m:r>
          <m:rPr>
            <m:nor/>
          </m:rPr>
          <w:rPr>
            <w:rFonts w:ascii="Cambria Math" w:hAnsi="Cambria Math"/>
            <w:sz w:val="20"/>
          </w:rPr>
          <m:t xml:space="preserve"> mod </m:t>
        </m:r>
        <m:r>
          <w:rPr>
            <w:rFonts w:ascii="Cambria Math" w:hAnsi="Cambria Math"/>
            <w:sz w:val="20"/>
          </w:rPr>
          <m:t>L</m:t>
        </m:r>
      </m:oMath>
      <w:r w:rsidRPr="00D6701D">
        <w:rPr>
          <w:sz w:val="20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sz w:val="2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sz w:val="20"/>
              </w:rPr>
              <m:t>s</m:t>
            </m:r>
          </m:e>
          <m:sub>
            <m:r>
              <m:rPr>
                <m:nor/>
              </m:rPr>
              <w:rPr>
                <w:rFonts w:ascii="Cambria Math" w:hAnsi="Cambria Math"/>
                <w:strike/>
                <w:color w:val="FF0000"/>
                <w:sz w:val="20"/>
              </w:rPr>
              <m:t>n</m:t>
            </m:r>
          </m:sub>
        </m:sSub>
      </m:oMath>
      <w:r w:rsidRPr="00D6701D">
        <w:rPr>
          <w:strike/>
          <w:color w:val="FF0000"/>
          <w:sz w:val="20"/>
        </w:rPr>
        <w:t xml:space="preserve"> is the slot or subframe number,</w:t>
      </w:r>
      <w:r w:rsidRPr="00D6701D">
        <w:rPr>
          <w:sz w:val="20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</w:rPr>
          <m:t>Δ</m:t>
        </m:r>
        <m:r>
          <w:rPr>
            <w:rFonts w:ascii="Cambria Math" w:hAnsi="Cambria Math"/>
            <w:sz w:val="20"/>
          </w:rPr>
          <m:t>s∈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0,1,…,L-1</m:t>
            </m:r>
          </m:e>
        </m:d>
      </m:oMath>
      <w:r w:rsidRPr="00D6701D">
        <w:rPr>
          <w:sz w:val="20"/>
        </w:rPr>
        <w:t xml:space="preserve"> is given by the higher-layer parameter </w:t>
      </w:r>
      <w:r w:rsidRPr="00D6701D">
        <w:rPr>
          <w:i/>
          <w:sz w:val="20"/>
        </w:rPr>
        <w:t>prach-ConfigurationSOffset</w:t>
      </w:r>
      <w:r w:rsidR="00FD1AD5" w:rsidRPr="00D6701D">
        <w:rPr>
          <w:sz w:val="20"/>
        </w:rPr>
        <w:t xml:space="preserve">, </w:t>
      </w:r>
      <w:r w:rsidRPr="00D6701D">
        <w:rPr>
          <w:sz w:val="20"/>
        </w:rPr>
        <w:t xml:space="preserve">and </w:t>
      </w:r>
      <m:oMath>
        <m:r>
          <w:rPr>
            <w:rFonts w:ascii="Cambria Math" w:hAnsi="Cambria Math"/>
            <w:strike/>
            <w:color w:val="FF0000"/>
            <w:sz w:val="20"/>
          </w:rPr>
          <m:t>L</m:t>
        </m:r>
      </m:oMath>
      <w:r w:rsidRPr="00D6701D">
        <w:rPr>
          <w:strike/>
          <w:color w:val="FF0000"/>
          <w:sz w:val="20"/>
        </w:rPr>
        <w:t xml:space="preserve"> is the number of subframes in a frame in Tables 6.3.3.2-2 to 6.3.3.2-3 and the number of slots</w:t>
      </w:r>
      <w:r w:rsidR="00FD1AD5" w:rsidRPr="00D6701D">
        <w:rPr>
          <w:strike/>
          <w:color w:val="FF0000"/>
          <w:sz w:val="20"/>
        </w:rPr>
        <w:t xml:space="preserve"> in a frame in Table 6.3.3.2-4.</w:t>
      </w:r>
    </w:p>
    <w:p w:rsidR="00FD1AD5" w:rsidRPr="00D6701D" w:rsidRDefault="00FD1AD5" w:rsidP="00D6701D">
      <w:pPr>
        <w:pStyle w:val="B1"/>
        <w:spacing w:before="120" w:after="120"/>
        <w:ind w:leftChars="302" w:left="810" w:hangingChars="88" w:hanging="176"/>
        <w:rPr>
          <w:color w:val="FF0000"/>
          <w:sz w:val="20"/>
        </w:rPr>
      </w:pPr>
      <w:r w:rsidRPr="00D6701D">
        <w:rPr>
          <w:color w:val="FF0000"/>
          <w:sz w:val="20"/>
        </w:rPr>
        <w:tab/>
        <w:t xml:space="preserve">- For subframe number determination,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0"/>
              </w:rPr>
            </m:ctrlPr>
          </m:sSubPr>
          <m:e>
            <m:r>
              <w:rPr>
                <w:rFonts w:ascii="Cambria Math" w:hAnsi="Cambria Math"/>
                <w:color w:val="FF0000"/>
                <w:sz w:val="20"/>
              </w:rPr>
              <m:t>s</m:t>
            </m:r>
          </m:e>
          <m:sub>
            <m:r>
              <m:rPr>
                <m:nor/>
              </m:rPr>
              <w:rPr>
                <w:rFonts w:ascii="Cambria Math" w:hAnsi="Cambria Math"/>
                <w:color w:val="FF0000"/>
                <w:sz w:val="20"/>
              </w:rPr>
              <m:t>n</m:t>
            </m:r>
          </m:sub>
        </m:sSub>
      </m:oMath>
      <w:r w:rsidRPr="00D6701D">
        <w:rPr>
          <w:color w:val="FF0000"/>
          <w:sz w:val="20"/>
        </w:rPr>
        <w:t xml:space="preserve"> is the subframe number in Tables 6.3.3.2-2 to 6.3.3.2-3 and L equals to 10. </w:t>
      </w:r>
    </w:p>
    <w:p w:rsidR="00880060" w:rsidRPr="00D6701D" w:rsidRDefault="002E39D5" w:rsidP="00D6701D">
      <w:pPr>
        <w:pStyle w:val="B1"/>
        <w:spacing w:before="120" w:after="120"/>
        <w:ind w:leftChars="302" w:left="810" w:hangingChars="88" w:hanging="176"/>
        <w:rPr>
          <w:color w:val="FF0000"/>
          <w:sz w:val="20"/>
        </w:rPr>
      </w:pPr>
      <w:r w:rsidRPr="00D6701D">
        <w:rPr>
          <w:color w:val="FF0000"/>
          <w:sz w:val="20"/>
        </w:rPr>
        <w:tab/>
        <w:t xml:space="preserve">- For slot number determination,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0"/>
              </w:rPr>
            </m:ctrlPr>
          </m:sSubPr>
          <m:e>
            <m:r>
              <w:rPr>
                <w:rFonts w:ascii="Cambria Math" w:hAnsi="Cambria Math"/>
                <w:color w:val="FF0000"/>
                <w:sz w:val="20"/>
              </w:rPr>
              <m:t>s</m:t>
            </m:r>
          </m:e>
          <m:sub>
            <m:r>
              <m:rPr>
                <m:nor/>
              </m:rPr>
              <w:rPr>
                <w:rFonts w:ascii="Cambria Math" w:hAnsi="Cambria Math"/>
                <w:color w:val="FF0000"/>
                <w:sz w:val="20"/>
              </w:rPr>
              <m:t>n</m:t>
            </m:r>
          </m:sub>
        </m:sSub>
      </m:oMath>
      <w:r w:rsidRPr="00D6701D">
        <w:rPr>
          <w:color w:val="FF0000"/>
          <w:sz w:val="20"/>
        </w:rPr>
        <w:t xml:space="preserve"> is the slot number in Tables 6.3.3.2-4 and L equals to 40.</w:t>
      </w:r>
      <w:bookmarkEnd w:id="0"/>
    </w:p>
    <w:p w:rsidR="00880060" w:rsidRDefault="00FA6363">
      <w:pPr>
        <w:pStyle w:val="Heading1"/>
        <w:spacing w:before="120" w:after="120"/>
        <w:ind w:left="0"/>
        <w:rPr>
          <w:rFonts w:eastAsia="SimSun"/>
        </w:rPr>
      </w:pPr>
      <w:bookmarkStart w:id="1" w:name="_Toc19141"/>
      <w:bookmarkStart w:id="2" w:name="_Toc30716"/>
      <w:bookmarkStart w:id="3" w:name="_Toc8335"/>
      <w:bookmarkEnd w:id="1"/>
      <w:bookmarkEnd w:id="2"/>
      <w:bookmarkEnd w:id="3"/>
      <w:r>
        <w:rPr>
          <w:rFonts w:eastAsia="SimSun" w:hint="eastAsia"/>
        </w:rPr>
        <w:t>Conclusion</w:t>
      </w:r>
    </w:p>
    <w:p w:rsidR="00880060" w:rsidRDefault="002977EC">
      <w:pPr>
        <w:tabs>
          <w:tab w:val="left" w:pos="2520"/>
        </w:tabs>
        <w:spacing w:before="120" w:after="120"/>
        <w:rPr>
          <w:sz w:val="20"/>
        </w:rPr>
      </w:pPr>
      <w:r w:rsidRPr="002977EC">
        <w:rPr>
          <w:noProof/>
          <w:lang w:eastAsia="zh-TW"/>
        </w:rPr>
        <w:pict>
          <v:shape id="_x0000_s1027" type="#_x0000_t202" style="position:absolute;left:0;text-align:left;margin-left:5.8pt;margin-top:29.1pt;width:471.4pt;height:325.6pt;z-index:251662336;mso-width-relative:margin;mso-height-relative:margin">
            <v:textbox>
              <w:txbxContent>
                <w:p w:rsidR="00A44B9D" w:rsidRDefault="00A44B9D" w:rsidP="002E39D5">
                  <w:pPr>
                    <w:pStyle w:val="Heading4"/>
                    <w:numPr>
                      <w:ilvl w:val="0"/>
                      <w:numId w:val="0"/>
                    </w:num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6.3.3.2</w:t>
                  </w:r>
                  <w:r>
                    <w:rPr>
                      <w:sz w:val="24"/>
                      <w:szCs w:val="24"/>
                    </w:rPr>
                    <w:tab/>
                    <w:t>Mapping to physical resources</w:t>
                  </w:r>
                </w:p>
                <w:p w:rsidR="00A44B9D" w:rsidRDefault="00A44B9D" w:rsidP="002E39D5">
                  <w:pPr>
                    <w:keepNext/>
                    <w:keepLines/>
                    <w:spacing w:before="120" w:after="120"/>
                    <w:ind w:left="1134" w:hanging="1134"/>
                    <w:jc w:val="center"/>
                    <w:outlineLvl w:val="1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&lt;Unchanged text is omitted&gt;</w:t>
                  </w:r>
                </w:p>
                <w:p w:rsidR="00A44B9D" w:rsidRPr="00D6701D" w:rsidRDefault="00A44B9D" w:rsidP="002E39D5">
                  <w:pPr>
                    <w:spacing w:before="120" w:after="120"/>
                    <w:rPr>
                      <w:sz w:val="20"/>
                    </w:rPr>
                  </w:pPr>
                  <w:r w:rsidRPr="00D6701D">
                    <w:rPr>
                      <w:sz w:val="20"/>
                    </w:rPr>
                    <w:t>For the IAB-MT part of an IAB node, the following applies:</w:t>
                  </w:r>
                </w:p>
                <w:p w:rsidR="00A44B9D" w:rsidRPr="00D6701D" w:rsidRDefault="00A44B9D" w:rsidP="002E39D5">
                  <w:pPr>
                    <w:pStyle w:val="B1"/>
                    <w:spacing w:before="120" w:after="120"/>
                    <w:rPr>
                      <w:sz w:val="20"/>
                    </w:rPr>
                  </w:pPr>
                  <w:r w:rsidRPr="00D6701D">
                    <w:rPr>
                      <w:sz w:val="20"/>
                    </w:rPr>
                    <w:t>-</w:t>
                  </w:r>
                  <w:r w:rsidRPr="00D6701D">
                    <w:rPr>
                      <w:sz w:val="20"/>
                    </w:rPr>
                    <w:tab/>
                    <w:t xml:space="preserve">if the higher-layer parameter </w:t>
                  </w:r>
                  <w:r w:rsidRPr="00D6701D">
                    <w:rPr>
                      <w:i/>
                      <w:iCs/>
                      <w:sz w:val="20"/>
                    </w:rPr>
                    <w:t>prach-ConfigurationPeriocScaling</w:t>
                  </w:r>
                  <w:r w:rsidRPr="00D6701D">
                    <w:rPr>
                      <w:sz w:val="20"/>
                    </w:rPr>
                    <w:t xml:space="preserve"> is configured, the variable </w:t>
                  </w:r>
                  <m:oMath>
                    <m:r>
                      <w:rPr>
                        <w:rFonts w:ascii="Cambria Math" w:hAnsi="Cambria Math"/>
                        <w:sz w:val="20"/>
                      </w:rPr>
                      <m:t>x</m:t>
                    </m:r>
                  </m:oMath>
                  <w:r w:rsidRPr="00D6701D">
                    <w:rPr>
                      <w:sz w:val="20"/>
                    </w:rPr>
                    <w:t xml:space="preserve"> used in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</w:rPr>
                          <m:t>SFN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0"/>
                      </w:rPr>
                      <m:t>mod</m:t>
                    </m:r>
                    <m:r>
                      <w:rPr>
                        <w:rFonts w:ascii="Cambria Math" w:hAnsi="Cambria Math"/>
                        <w:sz w:val="20"/>
                      </w:rPr>
                      <m:t xml:space="preserve"> x=y</m:t>
                    </m:r>
                  </m:oMath>
                  <w:r w:rsidRPr="00D6701D">
                    <w:rPr>
                      <w:sz w:val="20"/>
                    </w:rPr>
                    <w:t xml:space="preserve"> of Tables 6.3.3.2-2 to 6.3.3.2-4 shall be replaced by </w:t>
                  </w:r>
                  <m:oMath>
                    <m:r>
                      <w:rPr>
                        <w:rFonts w:ascii="Cambria Math" w:hAnsi="Cambria Math"/>
                        <w:sz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</w:rPr>
                          <m:t>IAB</m:t>
                        </m:r>
                      </m:sub>
                    </m:sSub>
                  </m:oMath>
                  <w:r w:rsidRPr="00D6701D">
                    <w:rPr>
                      <w:sz w:val="20"/>
                    </w:rPr>
                    <w:t xml:space="preserve"> , where </w:t>
                  </w:r>
                  <m:oMath>
                    <m:r>
                      <w:rPr>
                        <w:rFonts w:ascii="Cambria Math" w:hAnsi="Cambria Math"/>
                        <w:sz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</w:rPr>
                          <m:t>IAB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</w:rPr>
                      <m:t>=δx</m:t>
                    </m:r>
                  </m:oMath>
                  <w:r w:rsidRPr="00D6701D">
                    <w:rPr>
                      <w:sz w:val="20"/>
                    </w:rPr>
                    <w:t xml:space="preserve"> and </w:t>
                  </w:r>
                  <m:oMath>
                    <m:r>
                      <w:rPr>
                        <w:rFonts w:ascii="Cambria Math" w:hAnsi="Cambria Math"/>
                        <w:sz w:val="20"/>
                      </w:rPr>
                      <m:t>δ</m:t>
                    </m:r>
                  </m:oMath>
                  <w:r w:rsidRPr="00D6701D">
                    <w:rPr>
                      <w:sz w:val="20"/>
                    </w:rPr>
                    <w:t xml:space="preserve"> is given by the higher-layer parameter </w:t>
                  </w:r>
                  <w:r w:rsidRPr="00D6701D">
                    <w:rPr>
                      <w:i/>
                      <w:iCs/>
                      <w:sz w:val="20"/>
                    </w:rPr>
                    <w:t>prach-ConfigurationPeriodScaling</w:t>
                  </w:r>
                  <w:r w:rsidRPr="00D6701D">
                    <w:rPr>
                      <w:sz w:val="20"/>
                    </w:rPr>
                    <w:t xml:space="preserve"> and the IAB node does not expect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</w:rPr>
                          <m:t>IAB</m:t>
                        </m:r>
                      </m:sub>
                    </m:sSub>
                  </m:oMath>
                  <w:r w:rsidRPr="00D6701D">
                    <w:rPr>
                      <w:sz w:val="20"/>
                    </w:rPr>
                    <w:t xml:space="preserve"> to be larger than 64;</w:t>
                  </w:r>
                </w:p>
                <w:p w:rsidR="00A44B9D" w:rsidRPr="00D6701D" w:rsidRDefault="00A44B9D" w:rsidP="002E39D5">
                  <w:pPr>
                    <w:pStyle w:val="B1"/>
                    <w:spacing w:before="120" w:after="120"/>
                    <w:rPr>
                      <w:sz w:val="20"/>
                    </w:rPr>
                  </w:pPr>
                  <w:r w:rsidRPr="00D6701D">
                    <w:rPr>
                      <w:sz w:val="20"/>
                    </w:rPr>
                    <w:t>-</w:t>
                  </w:r>
                  <w:r w:rsidRPr="00D6701D">
                    <w:rPr>
                      <w:sz w:val="20"/>
                    </w:rPr>
                    <w:tab/>
                    <w:t xml:space="preserve">if the higher-layer parameter </w:t>
                  </w:r>
                  <w:r w:rsidRPr="00D6701D">
                    <w:rPr>
                      <w:i/>
                      <w:iCs/>
                      <w:sz w:val="20"/>
                    </w:rPr>
                    <w:t>prach-ConfigurationFrameOffset</w:t>
                  </w:r>
                  <w:r w:rsidRPr="00D6701D">
                    <w:rPr>
                      <w:sz w:val="20"/>
                    </w:rPr>
                    <w:t xml:space="preserve"> is configured, the variable </w:t>
                  </w:r>
                  <m:oMath>
                    <m:r>
                      <w:rPr>
                        <w:rFonts w:ascii="Cambria Math" w:hAnsi="Cambria Math"/>
                        <w:sz w:val="20"/>
                      </w:rPr>
                      <m:t>y</m:t>
                    </m:r>
                  </m:oMath>
                  <w:r w:rsidRPr="00D6701D">
                    <w:rPr>
                      <w:sz w:val="20"/>
                    </w:rPr>
                    <w:t xml:space="preserve"> used in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</w:rPr>
                          <m:t>SFN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0"/>
                      </w:rPr>
                      <m:t>mod</m:t>
                    </m:r>
                    <m:r>
                      <w:rPr>
                        <w:rFonts w:ascii="Cambria Math" w:hAnsi="Cambria Math"/>
                        <w:sz w:val="20"/>
                      </w:rPr>
                      <m:t xml:space="preserve"> x=y</m:t>
                    </m:r>
                  </m:oMath>
                  <w:r w:rsidRPr="00D6701D">
                    <w:rPr>
                      <w:sz w:val="20"/>
                    </w:rPr>
                    <w:t xml:space="preserve"> of Tables 6.3.3.2-2 to 6.3.3.2-4 shall be replaced by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y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</w:rPr>
                          <m:t>IAB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</w:rPr>
                      <m:t>=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y+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  <w:sz w:val="20"/>
                          </w:rPr>
                          <m:t>y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</w:rPr>
                      <m:t xml:space="preserve"> mod </m:t>
                    </m:r>
                    <m:r>
                      <w:rPr>
                        <w:rFonts w:ascii="Cambria Math" w:hAnsi="Cambria Math"/>
                        <w:sz w:val="20"/>
                      </w:rPr>
                      <m:t>x</m:t>
                    </m:r>
                  </m:oMath>
                  <w:r w:rsidRPr="00D6701D">
                    <w:rPr>
                      <w:sz w:val="20"/>
                    </w:rPr>
                    <w:t xml:space="preserve">  where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Δ</m:t>
                    </m:r>
                    <m:r>
                      <w:rPr>
                        <w:rFonts w:ascii="Cambria Math" w:hAnsi="Cambria Math"/>
                        <w:sz w:val="20"/>
                      </w:rPr>
                      <m:t>y</m:t>
                    </m:r>
                  </m:oMath>
                  <w:r w:rsidRPr="00D6701D">
                    <w:rPr>
                      <w:sz w:val="20"/>
                    </w:rPr>
                    <w:t xml:space="preserve"> is given by the higher-layer parameter </w:t>
                  </w:r>
                  <w:r w:rsidRPr="00D6701D">
                    <w:rPr>
                      <w:i/>
                      <w:sz w:val="20"/>
                    </w:rPr>
                    <w:t>prach-ConfigurationFrameOffset</w:t>
                  </w:r>
                  <w:r w:rsidRPr="00D6701D">
                    <w:rPr>
                      <w:sz w:val="20"/>
                    </w:rPr>
                    <w:t xml:space="preserve">, and </w:t>
                  </w:r>
                  <m:oMath>
                    <m:r>
                      <w:rPr>
                        <w:rFonts w:ascii="Cambria Math" w:hAnsi="Cambria Math"/>
                        <w:sz w:val="20"/>
                      </w:rPr>
                      <m:t>x</m:t>
                    </m:r>
                  </m:oMath>
                  <w:r w:rsidRPr="00D6701D">
                    <w:rPr>
                      <w:sz w:val="20"/>
                    </w:rPr>
                    <w:t xml:space="preserve"> is the value used in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</w:rPr>
                          <m:t>SFN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sz w:val="20"/>
                      </w:rPr>
                      <m:t>mod</m:t>
                    </m:r>
                    <m:r>
                      <w:rPr>
                        <w:rFonts w:ascii="Cambria Math" w:hAnsi="Cambria Math"/>
                        <w:sz w:val="20"/>
                      </w:rPr>
                      <m:t xml:space="preserve"> x=y</m:t>
                    </m:r>
                  </m:oMath>
                  <w:r w:rsidRPr="00D6701D">
                    <w:rPr>
                      <w:sz w:val="20"/>
                    </w:rPr>
                    <w:t>;</w:t>
                  </w:r>
                </w:p>
                <w:p w:rsidR="00A44B9D" w:rsidRPr="00D6701D" w:rsidRDefault="00A44B9D" w:rsidP="00D6701D">
                  <w:pPr>
                    <w:pStyle w:val="B1"/>
                    <w:spacing w:before="120" w:after="120"/>
                    <w:ind w:leftChars="169" w:left="531" w:hangingChars="88" w:hanging="176"/>
                    <w:rPr>
                      <w:color w:val="FF0000"/>
                      <w:sz w:val="20"/>
                    </w:rPr>
                  </w:pPr>
                  <w:r w:rsidRPr="00D6701D">
                    <w:rPr>
                      <w:sz w:val="20"/>
                    </w:rPr>
                    <w:t>-</w:t>
                  </w:r>
                  <w:r w:rsidRPr="00D6701D">
                    <w:rPr>
                      <w:sz w:val="20"/>
                    </w:rPr>
                    <w:tab/>
                    <w:t xml:space="preserve">if the higher-layer parameter </w:t>
                  </w:r>
                  <w:r w:rsidRPr="00D6701D">
                    <w:rPr>
                      <w:i/>
                      <w:iCs/>
                      <w:sz w:val="20"/>
                    </w:rPr>
                    <w:t>prach-ConfigurationSOffset</w:t>
                  </w:r>
                  <w:r w:rsidRPr="00D6701D">
                    <w:rPr>
                      <w:sz w:val="20"/>
                    </w:rPr>
                    <w:t xml:space="preserve"> is configured, the subframe number </w:t>
                  </w:r>
                  <w:r w:rsidRPr="00D6701D">
                    <w:rPr>
                      <w:strike/>
                      <w:color w:val="FF0000"/>
                      <w:sz w:val="20"/>
                    </w:rPr>
                    <w:t>in Tables 6.3.3.2-2 to 6.3.3.2-3</w:t>
                  </w:r>
                  <w:r w:rsidRPr="00D6701D">
                    <w:rPr>
                      <w:sz w:val="20"/>
                    </w:rPr>
                    <w:t xml:space="preserve"> and the slot number </w:t>
                  </w:r>
                  <w:r w:rsidRPr="00D6701D">
                    <w:rPr>
                      <w:strike/>
                      <w:color w:val="FF0000"/>
                      <w:sz w:val="20"/>
                    </w:rPr>
                    <w:t>in Table 6.3.3.2-4</w:t>
                  </w:r>
                  <w:r w:rsidRPr="00D6701D">
                    <w:rPr>
                      <w:color w:val="FF0000"/>
                      <w:sz w:val="20"/>
                    </w:rPr>
                    <w:t xml:space="preserve"> for PRACH time resources</w:t>
                  </w:r>
                  <w:r w:rsidRPr="00D6701D">
                    <w:rPr>
                      <w:sz w:val="20"/>
                    </w:rPr>
                    <w:t xml:space="preserve"> shall be replaced by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Δ</m:t>
                        </m:r>
                        <m:r>
                          <w:rPr>
                            <w:rFonts w:ascii="Cambria Math" w:hAnsi="Cambria Math"/>
                            <w:sz w:val="20"/>
                          </w:rPr>
                          <m:t>s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</w:rPr>
                      <m:t xml:space="preserve"> mod </m:t>
                    </m:r>
                    <m:r>
                      <w:rPr>
                        <w:rFonts w:ascii="Cambria Math" w:hAnsi="Cambria Math"/>
                        <w:sz w:val="20"/>
                      </w:rPr>
                      <m:t>L</m:t>
                    </m:r>
                  </m:oMath>
                  <w:r w:rsidRPr="00D6701D">
                    <w:rPr>
                      <w:sz w:val="20"/>
                    </w:rPr>
                    <w:t xml:space="preserve"> where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trike/>
                            <w:color w:val="FF0000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sz w:val="20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trike/>
                            <w:color w:val="FF0000"/>
                            <w:sz w:val="20"/>
                          </w:rPr>
                          <m:t>n</m:t>
                        </m:r>
                      </m:sub>
                    </m:sSub>
                  </m:oMath>
                  <w:r w:rsidRPr="00D6701D">
                    <w:rPr>
                      <w:strike/>
                      <w:color w:val="FF0000"/>
                      <w:sz w:val="20"/>
                    </w:rPr>
                    <w:t xml:space="preserve"> is the slot or subframe number,</w:t>
                  </w:r>
                  <w:r w:rsidRPr="00D6701D">
                    <w:rPr>
                      <w:sz w:val="20"/>
                    </w:rPr>
                    <w:t xml:space="preserve">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Δ</m:t>
                    </m:r>
                    <m:r>
                      <w:rPr>
                        <w:rFonts w:ascii="Cambria Math" w:hAnsi="Cambria Math"/>
                        <w:sz w:val="20"/>
                      </w:rPr>
                      <m:t>s∈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0,1,…,L-1</m:t>
                        </m:r>
                      </m:e>
                    </m:d>
                  </m:oMath>
                  <w:r w:rsidRPr="00D6701D">
                    <w:rPr>
                      <w:sz w:val="20"/>
                    </w:rPr>
                    <w:t xml:space="preserve"> is given by the higher-layer parameter </w:t>
                  </w:r>
                  <w:r w:rsidRPr="00D6701D">
                    <w:rPr>
                      <w:i/>
                      <w:sz w:val="20"/>
                    </w:rPr>
                    <w:t>prach-ConfigurationSOffset</w:t>
                  </w:r>
                  <w:r w:rsidRPr="00D6701D">
                    <w:rPr>
                      <w:sz w:val="20"/>
                    </w:rPr>
                    <w:t xml:space="preserve">, and </w:t>
                  </w:r>
                  <m:oMath>
                    <m:r>
                      <w:rPr>
                        <w:rFonts w:ascii="Cambria Math" w:hAnsi="Cambria Math"/>
                        <w:strike/>
                        <w:color w:val="FF0000"/>
                        <w:sz w:val="20"/>
                      </w:rPr>
                      <m:t>L</m:t>
                    </m:r>
                  </m:oMath>
                  <w:r w:rsidRPr="00D6701D">
                    <w:rPr>
                      <w:strike/>
                      <w:color w:val="FF0000"/>
                      <w:sz w:val="20"/>
                    </w:rPr>
                    <w:t xml:space="preserve"> is the number of subframes in a frame in Tables 6.3.3.2-2 to 6.3.3.2-3 and the number of slots in a frame in Table 6.3.3.2-4.</w:t>
                  </w:r>
                </w:p>
                <w:p w:rsidR="00A44B9D" w:rsidRPr="00D6701D" w:rsidRDefault="00A44B9D" w:rsidP="00D6701D">
                  <w:pPr>
                    <w:pStyle w:val="B1"/>
                    <w:spacing w:before="120" w:after="120"/>
                    <w:ind w:leftChars="302" w:left="810" w:hangingChars="88" w:hanging="176"/>
                    <w:rPr>
                      <w:color w:val="FF0000"/>
                      <w:sz w:val="20"/>
                    </w:rPr>
                  </w:pPr>
                  <w:r w:rsidRPr="00D6701D">
                    <w:rPr>
                      <w:color w:val="FF0000"/>
                      <w:sz w:val="20"/>
                    </w:rPr>
                    <w:tab/>
                    <w:t xml:space="preserve">- For subframe number determination,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FF0000"/>
                            <w:sz w:val="20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  <w:sz w:val="20"/>
                          </w:rPr>
                          <m:t>n</m:t>
                        </m:r>
                      </m:sub>
                    </m:sSub>
                  </m:oMath>
                  <w:r w:rsidRPr="00D6701D">
                    <w:rPr>
                      <w:color w:val="FF0000"/>
                      <w:sz w:val="20"/>
                    </w:rPr>
                    <w:t xml:space="preserve"> is the subframe number in Tables 6.3.3.2-2 to 6.3.3.2-3 and L equals to 10. </w:t>
                  </w:r>
                </w:p>
                <w:p w:rsidR="00A44B9D" w:rsidRPr="00D6701D" w:rsidRDefault="00A44B9D" w:rsidP="00D6701D">
                  <w:pPr>
                    <w:pStyle w:val="B1"/>
                    <w:spacing w:before="120" w:after="120"/>
                    <w:ind w:leftChars="302" w:left="810" w:hangingChars="88" w:hanging="176"/>
                    <w:rPr>
                      <w:color w:val="FF0000"/>
                      <w:sz w:val="20"/>
                    </w:rPr>
                  </w:pPr>
                  <w:r w:rsidRPr="00D6701D">
                    <w:rPr>
                      <w:color w:val="FF0000"/>
                      <w:sz w:val="20"/>
                    </w:rPr>
                    <w:tab/>
                    <w:t xml:space="preserve">- For slot number determination,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FF0000"/>
                            <w:sz w:val="20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  <w:sz w:val="20"/>
                          </w:rPr>
                          <m:t>n</m:t>
                        </m:r>
                      </m:sub>
                    </m:sSub>
                  </m:oMath>
                  <w:r w:rsidRPr="00D6701D">
                    <w:rPr>
                      <w:color w:val="FF0000"/>
                      <w:sz w:val="20"/>
                    </w:rPr>
                    <w:t xml:space="preserve"> is the slot number in Tables 6.3.3.2-4 and L equals to 40.</w:t>
                  </w:r>
                </w:p>
                <w:p w:rsidR="00A44B9D" w:rsidRDefault="00A44B9D" w:rsidP="002E39D5">
                  <w:pPr>
                    <w:pStyle w:val="B1"/>
                    <w:spacing w:before="120" w:after="120"/>
                    <w:ind w:leftChars="302" w:left="819" w:hangingChars="88" w:hanging="185"/>
                  </w:pPr>
                </w:p>
                <w:p w:rsidR="00A44B9D" w:rsidRDefault="00A44B9D" w:rsidP="002E39D5">
                  <w:pPr>
                    <w:pStyle w:val="B1"/>
                    <w:spacing w:before="120" w:after="120"/>
                    <w:ind w:left="0" w:firstLine="0"/>
                    <w:rPr>
                      <w:color w:val="FF0000"/>
                    </w:rPr>
                  </w:pPr>
                </w:p>
                <w:p w:rsidR="00A44B9D" w:rsidRDefault="00A44B9D" w:rsidP="002E39D5">
                  <w:pPr>
                    <w:keepNext/>
                    <w:keepLines/>
                    <w:spacing w:before="120" w:after="120"/>
                    <w:ind w:left="1134" w:hanging="1134"/>
                    <w:outlineLvl w:val="1"/>
                    <w:rPr>
                      <w:b/>
                      <w:color w:val="0070C0"/>
                    </w:rPr>
                  </w:pPr>
                  <w:r>
                    <w:rPr>
                      <w:b/>
                      <w:color w:val="0070C0"/>
                    </w:rPr>
                    <w:t>&lt;Unchanged text is omitted&gt;</w:t>
                  </w:r>
                </w:p>
                <w:p w:rsidR="00A44B9D" w:rsidRDefault="00A44B9D" w:rsidP="002E39D5">
                  <w:pPr>
                    <w:spacing w:before="120" w:after="120"/>
                  </w:pPr>
                </w:p>
              </w:txbxContent>
            </v:textbox>
          </v:shape>
        </w:pict>
      </w:r>
      <w:r w:rsidR="00FA6363">
        <w:rPr>
          <w:rFonts w:hint="eastAsia"/>
          <w:sz w:val="20"/>
        </w:rPr>
        <w:t>According to the discussion above, we provide the following proposal and text proposals on PRACH occasions of IAB node MT:</w:t>
      </w:r>
    </w:p>
    <w:p w:rsidR="00880060" w:rsidRDefault="00880060" w:rsidP="00357195">
      <w:pPr>
        <w:spacing w:before="120" w:after="120"/>
      </w:pPr>
    </w:p>
    <w:p w:rsidR="002E39D5" w:rsidRDefault="002E39D5" w:rsidP="00357195">
      <w:pPr>
        <w:spacing w:before="120" w:after="120"/>
      </w:pPr>
    </w:p>
    <w:p w:rsidR="00880060" w:rsidRDefault="00880060" w:rsidP="00357195">
      <w:pPr>
        <w:spacing w:before="120" w:after="120"/>
      </w:pPr>
    </w:p>
    <w:p w:rsidR="00880060" w:rsidRDefault="00880060" w:rsidP="00C375E5">
      <w:pPr>
        <w:spacing w:before="120" w:after="120"/>
      </w:pPr>
    </w:p>
    <w:p w:rsidR="002E39D5" w:rsidRDefault="002E39D5" w:rsidP="00C375E5">
      <w:pPr>
        <w:spacing w:before="120" w:after="120"/>
      </w:pPr>
    </w:p>
    <w:p w:rsidR="002E39D5" w:rsidRDefault="002E39D5" w:rsidP="00C375E5">
      <w:pPr>
        <w:spacing w:before="120" w:after="120"/>
      </w:pPr>
    </w:p>
    <w:p w:rsidR="002E39D5" w:rsidRDefault="002E39D5" w:rsidP="00C375E5">
      <w:pPr>
        <w:spacing w:before="120" w:after="120"/>
      </w:pPr>
    </w:p>
    <w:p w:rsidR="002E39D5" w:rsidRDefault="002E39D5" w:rsidP="00C375E5">
      <w:pPr>
        <w:spacing w:before="120" w:after="120"/>
      </w:pPr>
    </w:p>
    <w:p w:rsidR="002E39D5" w:rsidRDefault="002E39D5" w:rsidP="00C375E5">
      <w:pPr>
        <w:spacing w:before="120" w:after="120"/>
      </w:pPr>
    </w:p>
    <w:p w:rsidR="002E39D5" w:rsidRDefault="002E39D5" w:rsidP="00C375E5">
      <w:pPr>
        <w:spacing w:before="120" w:after="120"/>
      </w:pPr>
    </w:p>
    <w:p w:rsidR="002E39D5" w:rsidRDefault="002E39D5" w:rsidP="00C375E5">
      <w:pPr>
        <w:spacing w:before="120" w:after="120"/>
      </w:pPr>
    </w:p>
    <w:p w:rsidR="002E39D5" w:rsidRDefault="002E39D5" w:rsidP="00C375E5">
      <w:pPr>
        <w:spacing w:before="120" w:after="120"/>
      </w:pPr>
    </w:p>
    <w:p w:rsidR="002E39D5" w:rsidRDefault="002E39D5" w:rsidP="00C375E5">
      <w:pPr>
        <w:spacing w:before="120" w:after="120"/>
      </w:pPr>
    </w:p>
    <w:p w:rsidR="002E39D5" w:rsidRDefault="002E39D5" w:rsidP="00C375E5">
      <w:pPr>
        <w:spacing w:before="120" w:after="120"/>
      </w:pPr>
    </w:p>
    <w:p w:rsidR="002E39D5" w:rsidRDefault="002E39D5" w:rsidP="00C375E5">
      <w:pPr>
        <w:spacing w:before="120" w:after="120"/>
      </w:pPr>
    </w:p>
    <w:p w:rsidR="002E39D5" w:rsidRDefault="002E39D5" w:rsidP="00C375E5">
      <w:pPr>
        <w:spacing w:before="120" w:after="120"/>
      </w:pPr>
    </w:p>
    <w:p w:rsidR="002E39D5" w:rsidRDefault="002E39D5" w:rsidP="00C375E5">
      <w:pPr>
        <w:spacing w:before="120" w:after="120"/>
      </w:pPr>
    </w:p>
    <w:p w:rsidR="00880060" w:rsidRDefault="00FA6363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bookmarkStart w:id="4" w:name="_Ref17466"/>
    <w:bookmarkStart w:id="5" w:name="_Ref6480"/>
    <w:p w:rsidR="00880060" w:rsidRDefault="002977EC">
      <w:pPr>
        <w:pStyle w:val="References"/>
        <w:spacing w:before="120" w:after="120"/>
        <w:ind w:left="363" w:hanging="363"/>
        <w:rPr>
          <w:szCs w:val="20"/>
        </w:rPr>
      </w:pPr>
      <w:r>
        <w:rPr>
          <w:rFonts w:hint="eastAsia"/>
          <w:szCs w:val="20"/>
        </w:rPr>
        <w:fldChar w:fldCharType="begin"/>
      </w:r>
      <w:r w:rsidR="00FA6363">
        <w:rPr>
          <w:rFonts w:hint="eastAsia"/>
          <w:szCs w:val="20"/>
        </w:rPr>
        <w:instrText xml:space="preserve"> HYPERLINK "C:\\Users\\wanshic\\OneDrive - Qualcomm\\Documents\\Standards\\3GPP Standards\\Meeting Documents\\TSGR1_100\\Inbox\\R1-2001466.zip" </w:instrText>
      </w:r>
      <w:r>
        <w:rPr>
          <w:rFonts w:hint="eastAsia"/>
          <w:szCs w:val="20"/>
        </w:rPr>
        <w:fldChar w:fldCharType="separate"/>
      </w:r>
      <w:r w:rsidR="002E39D5">
        <w:rPr>
          <w:szCs w:val="20"/>
        </w:rPr>
        <w:t>3GPP</w:t>
      </w:r>
      <w:r>
        <w:rPr>
          <w:rFonts w:hint="eastAsia"/>
          <w:szCs w:val="20"/>
        </w:rPr>
        <w:fldChar w:fldCharType="end"/>
      </w:r>
      <w:r w:rsidR="002E39D5">
        <w:rPr>
          <w:szCs w:val="20"/>
        </w:rPr>
        <w:t xml:space="preserve"> TS38.211, v16.1.0</w:t>
      </w:r>
    </w:p>
    <w:bookmarkEnd w:id="4"/>
    <w:bookmarkEnd w:id="5"/>
    <w:p w:rsidR="00880060" w:rsidRDefault="00880060">
      <w:pPr>
        <w:spacing w:beforeLines="0" w:afterLines="0"/>
        <w:jc w:val="left"/>
      </w:pPr>
    </w:p>
    <w:sectPr w:rsidR="00880060" w:rsidSect="008800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7F4027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B9D" w:rsidRDefault="00A44B9D" w:rsidP="00FA6363">
      <w:pPr>
        <w:spacing w:before="120" w:after="120" w:line="240" w:lineRule="auto"/>
      </w:pPr>
      <w:r>
        <w:separator/>
      </w:r>
    </w:p>
  </w:endnote>
  <w:endnote w:type="continuationSeparator" w:id="0">
    <w:p w:rsidR="00A44B9D" w:rsidRDefault="00A44B9D" w:rsidP="00FA6363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B9D" w:rsidRDefault="00A44B9D" w:rsidP="002E39D5">
    <w:pPr>
      <w:pStyle w:val="Footer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39924"/>
      <w:docPartObj>
        <w:docPartGallery w:val="Page Numbers (Bottom of Page)"/>
        <w:docPartUnique/>
      </w:docPartObj>
    </w:sdtPr>
    <w:sdtContent>
      <w:p w:rsidR="00A44B9D" w:rsidRDefault="002977EC" w:rsidP="002E39D5">
        <w:pPr>
          <w:pStyle w:val="Footer"/>
          <w:spacing w:before="120" w:after="120"/>
          <w:jc w:val="center"/>
        </w:pPr>
        <w:fldSimple w:instr=" PAGE   \* MERGEFORMAT ">
          <w:r w:rsidR="00201473">
            <w:rPr>
              <w:noProof/>
            </w:rPr>
            <w:t>1</w:t>
          </w:r>
        </w:fldSimple>
      </w:p>
    </w:sdtContent>
  </w:sdt>
  <w:p w:rsidR="00A44B9D" w:rsidRDefault="00A44B9D">
    <w:pPr>
      <w:pStyle w:val="Footer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B9D" w:rsidRDefault="00A44B9D" w:rsidP="002E39D5">
    <w:pPr>
      <w:pStyle w:val="Footer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B9D" w:rsidRDefault="00A44B9D" w:rsidP="00FA6363">
      <w:pPr>
        <w:spacing w:before="120" w:after="120" w:line="240" w:lineRule="auto"/>
      </w:pPr>
      <w:r>
        <w:separator/>
      </w:r>
    </w:p>
  </w:footnote>
  <w:footnote w:type="continuationSeparator" w:id="0">
    <w:p w:rsidR="00A44B9D" w:rsidRDefault="00A44B9D" w:rsidP="00FA6363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B9D" w:rsidRDefault="00A44B9D" w:rsidP="002E39D5">
    <w:pPr>
      <w:pStyle w:val="Header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B9D" w:rsidRDefault="00A44B9D" w:rsidP="002E39D5">
    <w:pPr>
      <w:pStyle w:val="Header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B9D" w:rsidRDefault="00A44B9D" w:rsidP="002E39D5">
    <w:pPr>
      <w:pStyle w:val="Header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1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61E241C"/>
    <w:multiLevelType w:val="hybridMultilevel"/>
    <w:tmpl w:val="0226B3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2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10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aoting">
    <w15:presenceInfo w15:providerId="None" w15:userId="miaoti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172A27"/>
    <w:rsid w:val="00186CDE"/>
    <w:rsid w:val="001B2293"/>
    <w:rsid w:val="00201473"/>
    <w:rsid w:val="00271695"/>
    <w:rsid w:val="002977EC"/>
    <w:rsid w:val="002E39D5"/>
    <w:rsid w:val="00345220"/>
    <w:rsid w:val="00357195"/>
    <w:rsid w:val="004660F4"/>
    <w:rsid w:val="00472CEC"/>
    <w:rsid w:val="004D3384"/>
    <w:rsid w:val="005039B7"/>
    <w:rsid w:val="00556BA5"/>
    <w:rsid w:val="00563EBB"/>
    <w:rsid w:val="0059244C"/>
    <w:rsid w:val="005B065E"/>
    <w:rsid w:val="00623393"/>
    <w:rsid w:val="00626ECE"/>
    <w:rsid w:val="00672879"/>
    <w:rsid w:val="00690FF6"/>
    <w:rsid w:val="006B57AC"/>
    <w:rsid w:val="00737968"/>
    <w:rsid w:val="007633DF"/>
    <w:rsid w:val="007665DF"/>
    <w:rsid w:val="007C009E"/>
    <w:rsid w:val="007E7055"/>
    <w:rsid w:val="008263E5"/>
    <w:rsid w:val="00852E61"/>
    <w:rsid w:val="00880060"/>
    <w:rsid w:val="0088133B"/>
    <w:rsid w:val="008E0A62"/>
    <w:rsid w:val="008E6F93"/>
    <w:rsid w:val="009521F1"/>
    <w:rsid w:val="0096044C"/>
    <w:rsid w:val="00977DA2"/>
    <w:rsid w:val="00A44B9D"/>
    <w:rsid w:val="00A51392"/>
    <w:rsid w:val="00AA1629"/>
    <w:rsid w:val="00AF3719"/>
    <w:rsid w:val="00B76A4B"/>
    <w:rsid w:val="00C375E5"/>
    <w:rsid w:val="00D2308B"/>
    <w:rsid w:val="00D6701D"/>
    <w:rsid w:val="00DE63C1"/>
    <w:rsid w:val="00E25964"/>
    <w:rsid w:val="00F56B0D"/>
    <w:rsid w:val="00FA6363"/>
    <w:rsid w:val="00FB3C0F"/>
    <w:rsid w:val="00FD1AD5"/>
    <w:rsid w:val="00FD2DE4"/>
    <w:rsid w:val="01764F01"/>
    <w:rsid w:val="01A24378"/>
    <w:rsid w:val="01BB204B"/>
    <w:rsid w:val="023A7E5D"/>
    <w:rsid w:val="024D6B6A"/>
    <w:rsid w:val="0296685E"/>
    <w:rsid w:val="029B04E7"/>
    <w:rsid w:val="02A549AD"/>
    <w:rsid w:val="02CC642B"/>
    <w:rsid w:val="02EE40B6"/>
    <w:rsid w:val="03073BDC"/>
    <w:rsid w:val="033F44DC"/>
    <w:rsid w:val="03B13DEA"/>
    <w:rsid w:val="03B23C15"/>
    <w:rsid w:val="03E37A5C"/>
    <w:rsid w:val="04225BC0"/>
    <w:rsid w:val="044D7F0D"/>
    <w:rsid w:val="048940FA"/>
    <w:rsid w:val="04A717CC"/>
    <w:rsid w:val="0555228E"/>
    <w:rsid w:val="05687FD6"/>
    <w:rsid w:val="05856413"/>
    <w:rsid w:val="059D1E39"/>
    <w:rsid w:val="05A278A8"/>
    <w:rsid w:val="05E078B3"/>
    <w:rsid w:val="05FB7014"/>
    <w:rsid w:val="06C54C67"/>
    <w:rsid w:val="06D50911"/>
    <w:rsid w:val="06D6577F"/>
    <w:rsid w:val="06DA4D4C"/>
    <w:rsid w:val="071D167C"/>
    <w:rsid w:val="073A47AF"/>
    <w:rsid w:val="077D0583"/>
    <w:rsid w:val="079724D0"/>
    <w:rsid w:val="079E23A9"/>
    <w:rsid w:val="07C64F6B"/>
    <w:rsid w:val="07C82A90"/>
    <w:rsid w:val="08102421"/>
    <w:rsid w:val="082A352F"/>
    <w:rsid w:val="08A55ED7"/>
    <w:rsid w:val="08C349D1"/>
    <w:rsid w:val="08D147B4"/>
    <w:rsid w:val="09354BDA"/>
    <w:rsid w:val="096952A6"/>
    <w:rsid w:val="096E0747"/>
    <w:rsid w:val="09972C4E"/>
    <w:rsid w:val="099A4C25"/>
    <w:rsid w:val="09F67CD5"/>
    <w:rsid w:val="0A1C4D5C"/>
    <w:rsid w:val="0A1E0BD1"/>
    <w:rsid w:val="0A2A3B5C"/>
    <w:rsid w:val="0AAE4D33"/>
    <w:rsid w:val="0AD0416B"/>
    <w:rsid w:val="0AD07E35"/>
    <w:rsid w:val="0AEA7216"/>
    <w:rsid w:val="0B732094"/>
    <w:rsid w:val="0B870DDB"/>
    <w:rsid w:val="0B884441"/>
    <w:rsid w:val="0B885A9D"/>
    <w:rsid w:val="0B8F54B6"/>
    <w:rsid w:val="0B9E71DF"/>
    <w:rsid w:val="0BB04D20"/>
    <w:rsid w:val="0C900C57"/>
    <w:rsid w:val="0C935E91"/>
    <w:rsid w:val="0C9D30C2"/>
    <w:rsid w:val="0CBF1554"/>
    <w:rsid w:val="0CDF6C02"/>
    <w:rsid w:val="0D0F6620"/>
    <w:rsid w:val="0D167A71"/>
    <w:rsid w:val="0D297F0F"/>
    <w:rsid w:val="0D746A50"/>
    <w:rsid w:val="0D784804"/>
    <w:rsid w:val="0DB6345E"/>
    <w:rsid w:val="0DCD3EA6"/>
    <w:rsid w:val="0DFF76F5"/>
    <w:rsid w:val="0E132AA4"/>
    <w:rsid w:val="0E172BD0"/>
    <w:rsid w:val="0E7F55B8"/>
    <w:rsid w:val="0EA16FDD"/>
    <w:rsid w:val="0EC71015"/>
    <w:rsid w:val="0EC96BBA"/>
    <w:rsid w:val="0EDA1A8F"/>
    <w:rsid w:val="0F310742"/>
    <w:rsid w:val="0F4D2174"/>
    <w:rsid w:val="0F63585D"/>
    <w:rsid w:val="0F69111E"/>
    <w:rsid w:val="102B1D21"/>
    <w:rsid w:val="10770D42"/>
    <w:rsid w:val="10A36FD2"/>
    <w:rsid w:val="10A50104"/>
    <w:rsid w:val="10B20ACD"/>
    <w:rsid w:val="10E40B4A"/>
    <w:rsid w:val="115B3410"/>
    <w:rsid w:val="1174440C"/>
    <w:rsid w:val="119229B8"/>
    <w:rsid w:val="119D7849"/>
    <w:rsid w:val="11C23280"/>
    <w:rsid w:val="121248A4"/>
    <w:rsid w:val="1242135C"/>
    <w:rsid w:val="127565D6"/>
    <w:rsid w:val="12B945C1"/>
    <w:rsid w:val="13317CD1"/>
    <w:rsid w:val="1350063D"/>
    <w:rsid w:val="136019A1"/>
    <w:rsid w:val="138802B4"/>
    <w:rsid w:val="1389040E"/>
    <w:rsid w:val="138F18CE"/>
    <w:rsid w:val="139E0A9C"/>
    <w:rsid w:val="139F2F93"/>
    <w:rsid w:val="13A1683F"/>
    <w:rsid w:val="13AE5627"/>
    <w:rsid w:val="13EB14DD"/>
    <w:rsid w:val="141E2C78"/>
    <w:rsid w:val="143B2D27"/>
    <w:rsid w:val="145E3258"/>
    <w:rsid w:val="149A0294"/>
    <w:rsid w:val="14A327A9"/>
    <w:rsid w:val="14DA3DA1"/>
    <w:rsid w:val="151B6169"/>
    <w:rsid w:val="154178EA"/>
    <w:rsid w:val="15820826"/>
    <w:rsid w:val="158E109C"/>
    <w:rsid w:val="15970CB0"/>
    <w:rsid w:val="15BC2DFB"/>
    <w:rsid w:val="15DC4D4B"/>
    <w:rsid w:val="161419C7"/>
    <w:rsid w:val="16465B94"/>
    <w:rsid w:val="1687278D"/>
    <w:rsid w:val="168B40B5"/>
    <w:rsid w:val="16BE13E9"/>
    <w:rsid w:val="16CA49E7"/>
    <w:rsid w:val="16FB5F3B"/>
    <w:rsid w:val="17155857"/>
    <w:rsid w:val="171A3DA7"/>
    <w:rsid w:val="17950508"/>
    <w:rsid w:val="17C37718"/>
    <w:rsid w:val="17C6686C"/>
    <w:rsid w:val="17D007B6"/>
    <w:rsid w:val="17FF28A5"/>
    <w:rsid w:val="18315770"/>
    <w:rsid w:val="189F63F4"/>
    <w:rsid w:val="18C3199B"/>
    <w:rsid w:val="19010C43"/>
    <w:rsid w:val="19084C73"/>
    <w:rsid w:val="191438C5"/>
    <w:rsid w:val="19201A32"/>
    <w:rsid w:val="192C4B32"/>
    <w:rsid w:val="19EF50C7"/>
    <w:rsid w:val="19F87860"/>
    <w:rsid w:val="1A054259"/>
    <w:rsid w:val="1A296717"/>
    <w:rsid w:val="1A7D46AA"/>
    <w:rsid w:val="1AFB32C8"/>
    <w:rsid w:val="1B777BA8"/>
    <w:rsid w:val="1B7F6005"/>
    <w:rsid w:val="1B83264C"/>
    <w:rsid w:val="1BDF4AB1"/>
    <w:rsid w:val="1C12027B"/>
    <w:rsid w:val="1C132CB9"/>
    <w:rsid w:val="1C504281"/>
    <w:rsid w:val="1C5E342A"/>
    <w:rsid w:val="1C795227"/>
    <w:rsid w:val="1CAE0A20"/>
    <w:rsid w:val="1CCC26CA"/>
    <w:rsid w:val="1CCD4993"/>
    <w:rsid w:val="1CDD1467"/>
    <w:rsid w:val="1D172E57"/>
    <w:rsid w:val="1D455976"/>
    <w:rsid w:val="1D8B2231"/>
    <w:rsid w:val="1DBB6A6B"/>
    <w:rsid w:val="1DE3276B"/>
    <w:rsid w:val="1E385296"/>
    <w:rsid w:val="1E40264C"/>
    <w:rsid w:val="1E4B4999"/>
    <w:rsid w:val="1E606C25"/>
    <w:rsid w:val="1E8C2D7E"/>
    <w:rsid w:val="1E9D6342"/>
    <w:rsid w:val="1EAD27B4"/>
    <w:rsid w:val="1EBD7FBA"/>
    <w:rsid w:val="1ECD1E7C"/>
    <w:rsid w:val="1EE8230A"/>
    <w:rsid w:val="1EED2D0F"/>
    <w:rsid w:val="1EF73789"/>
    <w:rsid w:val="1F44338C"/>
    <w:rsid w:val="1F740D19"/>
    <w:rsid w:val="1FAA599D"/>
    <w:rsid w:val="1FB9295C"/>
    <w:rsid w:val="1FD563CF"/>
    <w:rsid w:val="1FEE796A"/>
    <w:rsid w:val="20401A97"/>
    <w:rsid w:val="204E6676"/>
    <w:rsid w:val="205D1519"/>
    <w:rsid w:val="208E76A3"/>
    <w:rsid w:val="20A04203"/>
    <w:rsid w:val="210C40D4"/>
    <w:rsid w:val="21247254"/>
    <w:rsid w:val="212D37D3"/>
    <w:rsid w:val="21407F52"/>
    <w:rsid w:val="217F33D3"/>
    <w:rsid w:val="2195668B"/>
    <w:rsid w:val="21AA62AF"/>
    <w:rsid w:val="21BC7634"/>
    <w:rsid w:val="21BE5AD4"/>
    <w:rsid w:val="21D61543"/>
    <w:rsid w:val="21F167ED"/>
    <w:rsid w:val="2207503E"/>
    <w:rsid w:val="22193EB0"/>
    <w:rsid w:val="22344B8C"/>
    <w:rsid w:val="224B31E3"/>
    <w:rsid w:val="225E6D36"/>
    <w:rsid w:val="228B3C29"/>
    <w:rsid w:val="22DC68C8"/>
    <w:rsid w:val="23081A49"/>
    <w:rsid w:val="237D7407"/>
    <w:rsid w:val="23C15DF8"/>
    <w:rsid w:val="240A50F9"/>
    <w:rsid w:val="241B144A"/>
    <w:rsid w:val="241F451E"/>
    <w:rsid w:val="2431068B"/>
    <w:rsid w:val="2438659C"/>
    <w:rsid w:val="245C52F8"/>
    <w:rsid w:val="2463385E"/>
    <w:rsid w:val="246C7E4D"/>
    <w:rsid w:val="247C3380"/>
    <w:rsid w:val="24803C7F"/>
    <w:rsid w:val="24892C19"/>
    <w:rsid w:val="249F2C15"/>
    <w:rsid w:val="24A5790D"/>
    <w:rsid w:val="24DF2713"/>
    <w:rsid w:val="24E170AA"/>
    <w:rsid w:val="250B2026"/>
    <w:rsid w:val="250D568B"/>
    <w:rsid w:val="25134332"/>
    <w:rsid w:val="251E37AC"/>
    <w:rsid w:val="257E508F"/>
    <w:rsid w:val="25CC3733"/>
    <w:rsid w:val="25DA0EE9"/>
    <w:rsid w:val="25E506CA"/>
    <w:rsid w:val="25F73803"/>
    <w:rsid w:val="26327BC1"/>
    <w:rsid w:val="267C2BA3"/>
    <w:rsid w:val="26BF5712"/>
    <w:rsid w:val="27254C9D"/>
    <w:rsid w:val="27AB7429"/>
    <w:rsid w:val="27D46B0A"/>
    <w:rsid w:val="27DE0B6C"/>
    <w:rsid w:val="2803130A"/>
    <w:rsid w:val="285C053E"/>
    <w:rsid w:val="285E4FDC"/>
    <w:rsid w:val="28F36768"/>
    <w:rsid w:val="29697554"/>
    <w:rsid w:val="297A484B"/>
    <w:rsid w:val="29EA6437"/>
    <w:rsid w:val="29FA7F26"/>
    <w:rsid w:val="2A0D5A73"/>
    <w:rsid w:val="2A717471"/>
    <w:rsid w:val="2A846944"/>
    <w:rsid w:val="2AC47DA0"/>
    <w:rsid w:val="2ADC13DA"/>
    <w:rsid w:val="2AFE074F"/>
    <w:rsid w:val="2B135CD1"/>
    <w:rsid w:val="2B505571"/>
    <w:rsid w:val="2B5D7E39"/>
    <w:rsid w:val="2B774832"/>
    <w:rsid w:val="2B8B50DE"/>
    <w:rsid w:val="2C0C272D"/>
    <w:rsid w:val="2C2E03A4"/>
    <w:rsid w:val="2C3C0810"/>
    <w:rsid w:val="2C40339C"/>
    <w:rsid w:val="2C592A41"/>
    <w:rsid w:val="2C6A0806"/>
    <w:rsid w:val="2C8533BD"/>
    <w:rsid w:val="2C863BDD"/>
    <w:rsid w:val="2C8D4DF2"/>
    <w:rsid w:val="2CFD4C94"/>
    <w:rsid w:val="2D442F9B"/>
    <w:rsid w:val="2D4F7415"/>
    <w:rsid w:val="2D55663C"/>
    <w:rsid w:val="2DA11379"/>
    <w:rsid w:val="2DCC7592"/>
    <w:rsid w:val="2DCF7C84"/>
    <w:rsid w:val="2E476DF8"/>
    <w:rsid w:val="2E4B2A44"/>
    <w:rsid w:val="2E642A90"/>
    <w:rsid w:val="2E7E6696"/>
    <w:rsid w:val="2E9B5E4D"/>
    <w:rsid w:val="2EC10058"/>
    <w:rsid w:val="2EE11BBB"/>
    <w:rsid w:val="2EF26E54"/>
    <w:rsid w:val="2F1251F2"/>
    <w:rsid w:val="2F145DEF"/>
    <w:rsid w:val="2F164D03"/>
    <w:rsid w:val="2F4041C5"/>
    <w:rsid w:val="2F527C47"/>
    <w:rsid w:val="2F763010"/>
    <w:rsid w:val="2FA43556"/>
    <w:rsid w:val="2FF35C7F"/>
    <w:rsid w:val="300C3127"/>
    <w:rsid w:val="30213803"/>
    <w:rsid w:val="302305C2"/>
    <w:rsid w:val="30757753"/>
    <w:rsid w:val="30962F3E"/>
    <w:rsid w:val="30D17E68"/>
    <w:rsid w:val="30DD0B04"/>
    <w:rsid w:val="30FF2795"/>
    <w:rsid w:val="3104005C"/>
    <w:rsid w:val="31041101"/>
    <w:rsid w:val="310D2A9F"/>
    <w:rsid w:val="316C03FB"/>
    <w:rsid w:val="31793EDF"/>
    <w:rsid w:val="31820458"/>
    <w:rsid w:val="31915735"/>
    <w:rsid w:val="31BA37C1"/>
    <w:rsid w:val="32052414"/>
    <w:rsid w:val="3249317D"/>
    <w:rsid w:val="329A6ACE"/>
    <w:rsid w:val="329F03DF"/>
    <w:rsid w:val="32A06931"/>
    <w:rsid w:val="32C71585"/>
    <w:rsid w:val="32DA4D50"/>
    <w:rsid w:val="32E567A7"/>
    <w:rsid w:val="33797245"/>
    <w:rsid w:val="337D5E43"/>
    <w:rsid w:val="33B63187"/>
    <w:rsid w:val="34163C77"/>
    <w:rsid w:val="34246892"/>
    <w:rsid w:val="34362B69"/>
    <w:rsid w:val="3439569D"/>
    <w:rsid w:val="34786487"/>
    <w:rsid w:val="348E4BFF"/>
    <w:rsid w:val="349F636B"/>
    <w:rsid w:val="34C737E6"/>
    <w:rsid w:val="34DE5DCD"/>
    <w:rsid w:val="34E1194D"/>
    <w:rsid w:val="350C7A1A"/>
    <w:rsid w:val="351A4C15"/>
    <w:rsid w:val="357205B3"/>
    <w:rsid w:val="35885313"/>
    <w:rsid w:val="35DF3A8D"/>
    <w:rsid w:val="35EE3771"/>
    <w:rsid w:val="360B1D73"/>
    <w:rsid w:val="36144313"/>
    <w:rsid w:val="361F3323"/>
    <w:rsid w:val="3651059D"/>
    <w:rsid w:val="365F023B"/>
    <w:rsid w:val="36C16D48"/>
    <w:rsid w:val="36E60988"/>
    <w:rsid w:val="36E93760"/>
    <w:rsid w:val="37157B14"/>
    <w:rsid w:val="373A314E"/>
    <w:rsid w:val="37515AFF"/>
    <w:rsid w:val="37523682"/>
    <w:rsid w:val="376855C9"/>
    <w:rsid w:val="37712677"/>
    <w:rsid w:val="37714CBA"/>
    <w:rsid w:val="37822C0E"/>
    <w:rsid w:val="3784394E"/>
    <w:rsid w:val="37B74167"/>
    <w:rsid w:val="37C525CE"/>
    <w:rsid w:val="37D02183"/>
    <w:rsid w:val="37D20EE5"/>
    <w:rsid w:val="37F00D14"/>
    <w:rsid w:val="37F21BD6"/>
    <w:rsid w:val="37F434A4"/>
    <w:rsid w:val="381D0C5E"/>
    <w:rsid w:val="38393323"/>
    <w:rsid w:val="38410CEB"/>
    <w:rsid w:val="388247F6"/>
    <w:rsid w:val="38900AD9"/>
    <w:rsid w:val="38AB1CD2"/>
    <w:rsid w:val="38AE3BB0"/>
    <w:rsid w:val="38D77892"/>
    <w:rsid w:val="38F73026"/>
    <w:rsid w:val="39882443"/>
    <w:rsid w:val="39B535F0"/>
    <w:rsid w:val="39DB336A"/>
    <w:rsid w:val="39EC7EBC"/>
    <w:rsid w:val="3A1F636F"/>
    <w:rsid w:val="3A370821"/>
    <w:rsid w:val="3A4C17D3"/>
    <w:rsid w:val="3A5D3D12"/>
    <w:rsid w:val="3A9D37FB"/>
    <w:rsid w:val="3AB06E32"/>
    <w:rsid w:val="3ACB5746"/>
    <w:rsid w:val="3B002B68"/>
    <w:rsid w:val="3B070AA1"/>
    <w:rsid w:val="3B2E5674"/>
    <w:rsid w:val="3B54709C"/>
    <w:rsid w:val="3B7042E5"/>
    <w:rsid w:val="3BAB221C"/>
    <w:rsid w:val="3BB20883"/>
    <w:rsid w:val="3BB22A62"/>
    <w:rsid w:val="3BE83E67"/>
    <w:rsid w:val="3BF82997"/>
    <w:rsid w:val="3C0C7420"/>
    <w:rsid w:val="3C1C19FA"/>
    <w:rsid w:val="3CA02A19"/>
    <w:rsid w:val="3CA142B8"/>
    <w:rsid w:val="3CE10723"/>
    <w:rsid w:val="3CEF2214"/>
    <w:rsid w:val="3CFE1EA1"/>
    <w:rsid w:val="3D0B3DD7"/>
    <w:rsid w:val="3D3449EE"/>
    <w:rsid w:val="3D6371C7"/>
    <w:rsid w:val="3DA8275C"/>
    <w:rsid w:val="3DBC5C66"/>
    <w:rsid w:val="3DCF028A"/>
    <w:rsid w:val="3E2B7359"/>
    <w:rsid w:val="3E441C7D"/>
    <w:rsid w:val="3E774042"/>
    <w:rsid w:val="3E796FCD"/>
    <w:rsid w:val="3F2C44E8"/>
    <w:rsid w:val="3F594BF6"/>
    <w:rsid w:val="3F831F54"/>
    <w:rsid w:val="3F943749"/>
    <w:rsid w:val="3F9F3E20"/>
    <w:rsid w:val="3FB5755C"/>
    <w:rsid w:val="3FC60A1C"/>
    <w:rsid w:val="3FC956FF"/>
    <w:rsid w:val="3FF309D1"/>
    <w:rsid w:val="401260E4"/>
    <w:rsid w:val="40A36A71"/>
    <w:rsid w:val="40DB36E7"/>
    <w:rsid w:val="410045B8"/>
    <w:rsid w:val="410E4736"/>
    <w:rsid w:val="416130D3"/>
    <w:rsid w:val="41D3631F"/>
    <w:rsid w:val="41D376E9"/>
    <w:rsid w:val="41F466FD"/>
    <w:rsid w:val="421215FC"/>
    <w:rsid w:val="42217CB3"/>
    <w:rsid w:val="42A67A24"/>
    <w:rsid w:val="42D846B9"/>
    <w:rsid w:val="42F94010"/>
    <w:rsid w:val="43407E5D"/>
    <w:rsid w:val="43A530D5"/>
    <w:rsid w:val="43A63ACD"/>
    <w:rsid w:val="43A7465A"/>
    <w:rsid w:val="43DD5A2B"/>
    <w:rsid w:val="44022077"/>
    <w:rsid w:val="4406685E"/>
    <w:rsid w:val="440962BF"/>
    <w:rsid w:val="440D5045"/>
    <w:rsid w:val="44136EA0"/>
    <w:rsid w:val="44F14EB5"/>
    <w:rsid w:val="451927B1"/>
    <w:rsid w:val="45684AB3"/>
    <w:rsid w:val="457C5A2E"/>
    <w:rsid w:val="459247E8"/>
    <w:rsid w:val="45BE6191"/>
    <w:rsid w:val="460C5979"/>
    <w:rsid w:val="462F15B4"/>
    <w:rsid w:val="464D67A7"/>
    <w:rsid w:val="4654234E"/>
    <w:rsid w:val="46F376B5"/>
    <w:rsid w:val="472D76EC"/>
    <w:rsid w:val="473E0378"/>
    <w:rsid w:val="47453A5C"/>
    <w:rsid w:val="47770D34"/>
    <w:rsid w:val="477941E7"/>
    <w:rsid w:val="477F3153"/>
    <w:rsid w:val="47913E0A"/>
    <w:rsid w:val="47A90F91"/>
    <w:rsid w:val="47B00298"/>
    <w:rsid w:val="47BB2256"/>
    <w:rsid w:val="47C01792"/>
    <w:rsid w:val="47CC2B23"/>
    <w:rsid w:val="4808150F"/>
    <w:rsid w:val="487713F0"/>
    <w:rsid w:val="488323FD"/>
    <w:rsid w:val="48D1344C"/>
    <w:rsid w:val="48D23129"/>
    <w:rsid w:val="49197FB0"/>
    <w:rsid w:val="493578C2"/>
    <w:rsid w:val="494D2151"/>
    <w:rsid w:val="49E9233D"/>
    <w:rsid w:val="4A5743A3"/>
    <w:rsid w:val="4A613930"/>
    <w:rsid w:val="4A873B4F"/>
    <w:rsid w:val="4AAD1944"/>
    <w:rsid w:val="4AC31003"/>
    <w:rsid w:val="4ACC4FFF"/>
    <w:rsid w:val="4ACC5E85"/>
    <w:rsid w:val="4AE93159"/>
    <w:rsid w:val="4B283586"/>
    <w:rsid w:val="4B3909A4"/>
    <w:rsid w:val="4B5460CA"/>
    <w:rsid w:val="4B9B1C48"/>
    <w:rsid w:val="4BD0339A"/>
    <w:rsid w:val="4C0C5A57"/>
    <w:rsid w:val="4C0E7BC3"/>
    <w:rsid w:val="4C2536DE"/>
    <w:rsid w:val="4C29524D"/>
    <w:rsid w:val="4CC9255E"/>
    <w:rsid w:val="4CDA138B"/>
    <w:rsid w:val="4D462159"/>
    <w:rsid w:val="4D5C5FAC"/>
    <w:rsid w:val="4D9429A8"/>
    <w:rsid w:val="4DA047C6"/>
    <w:rsid w:val="4DBF6E51"/>
    <w:rsid w:val="4DC605B6"/>
    <w:rsid w:val="4DD807D4"/>
    <w:rsid w:val="4DE70410"/>
    <w:rsid w:val="4DEC0985"/>
    <w:rsid w:val="4DF35865"/>
    <w:rsid w:val="4E192AC4"/>
    <w:rsid w:val="4E27683A"/>
    <w:rsid w:val="4E9836A8"/>
    <w:rsid w:val="4E997E51"/>
    <w:rsid w:val="4EB23297"/>
    <w:rsid w:val="4EC50D95"/>
    <w:rsid w:val="4EC705EC"/>
    <w:rsid w:val="4F027C1E"/>
    <w:rsid w:val="4F2765B1"/>
    <w:rsid w:val="4F285975"/>
    <w:rsid w:val="4F59353F"/>
    <w:rsid w:val="4F7E333B"/>
    <w:rsid w:val="4FBB5E80"/>
    <w:rsid w:val="4FD929B3"/>
    <w:rsid w:val="50141410"/>
    <w:rsid w:val="50554158"/>
    <w:rsid w:val="50C05272"/>
    <w:rsid w:val="50C53B21"/>
    <w:rsid w:val="510D4C8D"/>
    <w:rsid w:val="512C687A"/>
    <w:rsid w:val="51796EDE"/>
    <w:rsid w:val="517D4D31"/>
    <w:rsid w:val="51822456"/>
    <w:rsid w:val="51867298"/>
    <w:rsid w:val="51AD0A0B"/>
    <w:rsid w:val="51C43934"/>
    <w:rsid w:val="51DB13CA"/>
    <w:rsid w:val="52195EDF"/>
    <w:rsid w:val="52313387"/>
    <w:rsid w:val="52326E4F"/>
    <w:rsid w:val="5251759D"/>
    <w:rsid w:val="525C66C5"/>
    <w:rsid w:val="52744531"/>
    <w:rsid w:val="52B63FF4"/>
    <w:rsid w:val="52BC5461"/>
    <w:rsid w:val="52C0248E"/>
    <w:rsid w:val="52CC766D"/>
    <w:rsid w:val="52E04D27"/>
    <w:rsid w:val="52EB7199"/>
    <w:rsid w:val="531C1FC4"/>
    <w:rsid w:val="533C14FB"/>
    <w:rsid w:val="538F5761"/>
    <w:rsid w:val="539A390F"/>
    <w:rsid w:val="53AD6B40"/>
    <w:rsid w:val="53C60EE7"/>
    <w:rsid w:val="53DB3477"/>
    <w:rsid w:val="53E52AD5"/>
    <w:rsid w:val="53F62D3A"/>
    <w:rsid w:val="541E0EA0"/>
    <w:rsid w:val="545177CB"/>
    <w:rsid w:val="546224E7"/>
    <w:rsid w:val="54AF6B42"/>
    <w:rsid w:val="55406494"/>
    <w:rsid w:val="555A684A"/>
    <w:rsid w:val="558948AE"/>
    <w:rsid w:val="55C14585"/>
    <w:rsid w:val="55DB558C"/>
    <w:rsid w:val="55DD6F2A"/>
    <w:rsid w:val="55E66DE6"/>
    <w:rsid w:val="55FB27DB"/>
    <w:rsid w:val="55FD3A1F"/>
    <w:rsid w:val="55FE02F9"/>
    <w:rsid w:val="56013F76"/>
    <w:rsid w:val="565A51AE"/>
    <w:rsid w:val="569D1DF0"/>
    <w:rsid w:val="56E23970"/>
    <w:rsid w:val="56F71A1D"/>
    <w:rsid w:val="573C506B"/>
    <w:rsid w:val="575A7304"/>
    <w:rsid w:val="577A3C7D"/>
    <w:rsid w:val="578F220A"/>
    <w:rsid w:val="57E1737C"/>
    <w:rsid w:val="57F74C7A"/>
    <w:rsid w:val="57FB73AA"/>
    <w:rsid w:val="57FC07D9"/>
    <w:rsid w:val="581B5327"/>
    <w:rsid w:val="58500F22"/>
    <w:rsid w:val="58710315"/>
    <w:rsid w:val="58B06786"/>
    <w:rsid w:val="58B614DA"/>
    <w:rsid w:val="58BC5557"/>
    <w:rsid w:val="58E61853"/>
    <w:rsid w:val="58FB5F91"/>
    <w:rsid w:val="590208B8"/>
    <w:rsid w:val="59152F3F"/>
    <w:rsid w:val="591C0009"/>
    <w:rsid w:val="59220E85"/>
    <w:rsid w:val="59632EA1"/>
    <w:rsid w:val="596D1F3A"/>
    <w:rsid w:val="59E61B64"/>
    <w:rsid w:val="5A2046D4"/>
    <w:rsid w:val="5A586C76"/>
    <w:rsid w:val="5A6B71CB"/>
    <w:rsid w:val="5A6F78C6"/>
    <w:rsid w:val="5ACF0F3A"/>
    <w:rsid w:val="5AD22BBE"/>
    <w:rsid w:val="5B464984"/>
    <w:rsid w:val="5B687229"/>
    <w:rsid w:val="5B6C26DE"/>
    <w:rsid w:val="5B990441"/>
    <w:rsid w:val="5BCA199C"/>
    <w:rsid w:val="5BF92461"/>
    <w:rsid w:val="5C6B1600"/>
    <w:rsid w:val="5C7960E9"/>
    <w:rsid w:val="5C921AD0"/>
    <w:rsid w:val="5CC66B99"/>
    <w:rsid w:val="5CFA3ADB"/>
    <w:rsid w:val="5D370FCD"/>
    <w:rsid w:val="5D4C7AD8"/>
    <w:rsid w:val="5D6A62E1"/>
    <w:rsid w:val="5D787300"/>
    <w:rsid w:val="5D9A19C7"/>
    <w:rsid w:val="5D9D35FA"/>
    <w:rsid w:val="5DFD51DB"/>
    <w:rsid w:val="5E0D36E5"/>
    <w:rsid w:val="5E911548"/>
    <w:rsid w:val="5EA6379D"/>
    <w:rsid w:val="5EE4122E"/>
    <w:rsid w:val="5EFC1424"/>
    <w:rsid w:val="5F50230E"/>
    <w:rsid w:val="5F5E55EC"/>
    <w:rsid w:val="5FEE53E1"/>
    <w:rsid w:val="604C08B9"/>
    <w:rsid w:val="607A7006"/>
    <w:rsid w:val="607C3753"/>
    <w:rsid w:val="60C30855"/>
    <w:rsid w:val="60D37EAF"/>
    <w:rsid w:val="60DB1EFF"/>
    <w:rsid w:val="60DE6095"/>
    <w:rsid w:val="60E2600C"/>
    <w:rsid w:val="60E9600B"/>
    <w:rsid w:val="60FC647A"/>
    <w:rsid w:val="61280E5E"/>
    <w:rsid w:val="61421EFD"/>
    <w:rsid w:val="614B5348"/>
    <w:rsid w:val="615C5041"/>
    <w:rsid w:val="61AA3034"/>
    <w:rsid w:val="61E62A2A"/>
    <w:rsid w:val="620D38FD"/>
    <w:rsid w:val="621E51BC"/>
    <w:rsid w:val="62216C6C"/>
    <w:rsid w:val="6240718C"/>
    <w:rsid w:val="627D6E80"/>
    <w:rsid w:val="628C1D03"/>
    <w:rsid w:val="62D074F3"/>
    <w:rsid w:val="62D56118"/>
    <w:rsid w:val="62EA08CF"/>
    <w:rsid w:val="62F03D88"/>
    <w:rsid w:val="633A6746"/>
    <w:rsid w:val="633D7663"/>
    <w:rsid w:val="639C388C"/>
    <w:rsid w:val="639E61A5"/>
    <w:rsid w:val="63FE0D55"/>
    <w:rsid w:val="645F2B4B"/>
    <w:rsid w:val="648E792E"/>
    <w:rsid w:val="64D16C41"/>
    <w:rsid w:val="64DF7261"/>
    <w:rsid w:val="64E63530"/>
    <w:rsid w:val="64FE5610"/>
    <w:rsid w:val="650D717F"/>
    <w:rsid w:val="655D449B"/>
    <w:rsid w:val="6560510E"/>
    <w:rsid w:val="65636C8E"/>
    <w:rsid w:val="65880ED5"/>
    <w:rsid w:val="65AD322B"/>
    <w:rsid w:val="65CC6260"/>
    <w:rsid w:val="65CE03DF"/>
    <w:rsid w:val="65D3669A"/>
    <w:rsid w:val="65D6683A"/>
    <w:rsid w:val="661D74D6"/>
    <w:rsid w:val="662E4B5F"/>
    <w:rsid w:val="664805B8"/>
    <w:rsid w:val="66657E78"/>
    <w:rsid w:val="666F14EF"/>
    <w:rsid w:val="667E3F6E"/>
    <w:rsid w:val="66CD764F"/>
    <w:rsid w:val="672B5340"/>
    <w:rsid w:val="674A453F"/>
    <w:rsid w:val="67CC58D4"/>
    <w:rsid w:val="67FC6F39"/>
    <w:rsid w:val="685063F8"/>
    <w:rsid w:val="68692337"/>
    <w:rsid w:val="686E7F94"/>
    <w:rsid w:val="68A44353"/>
    <w:rsid w:val="68B96553"/>
    <w:rsid w:val="68BA049B"/>
    <w:rsid w:val="68D746D7"/>
    <w:rsid w:val="68F85254"/>
    <w:rsid w:val="690F418B"/>
    <w:rsid w:val="692F0C8C"/>
    <w:rsid w:val="69382F4B"/>
    <w:rsid w:val="69520DD7"/>
    <w:rsid w:val="69663C8F"/>
    <w:rsid w:val="6971710A"/>
    <w:rsid w:val="69A44437"/>
    <w:rsid w:val="69D53FB9"/>
    <w:rsid w:val="69F22286"/>
    <w:rsid w:val="6A4C3EB0"/>
    <w:rsid w:val="6A7A2736"/>
    <w:rsid w:val="6A7B4B9C"/>
    <w:rsid w:val="6A861A9E"/>
    <w:rsid w:val="6AE87DB0"/>
    <w:rsid w:val="6AEF3AA7"/>
    <w:rsid w:val="6B242CB6"/>
    <w:rsid w:val="6B2B5D9D"/>
    <w:rsid w:val="6B490423"/>
    <w:rsid w:val="6B4C50B7"/>
    <w:rsid w:val="6B797179"/>
    <w:rsid w:val="6B970AD4"/>
    <w:rsid w:val="6BC76E0D"/>
    <w:rsid w:val="6BD71937"/>
    <w:rsid w:val="6C25725C"/>
    <w:rsid w:val="6C89456C"/>
    <w:rsid w:val="6D3C10C2"/>
    <w:rsid w:val="6D414E1F"/>
    <w:rsid w:val="6D667D08"/>
    <w:rsid w:val="6DA651B2"/>
    <w:rsid w:val="6DAB6D0E"/>
    <w:rsid w:val="6DAF4AB2"/>
    <w:rsid w:val="6DB91E5B"/>
    <w:rsid w:val="6E2B62EA"/>
    <w:rsid w:val="6E300DF1"/>
    <w:rsid w:val="6E993208"/>
    <w:rsid w:val="6EAF0E12"/>
    <w:rsid w:val="6EB45AAE"/>
    <w:rsid w:val="6ECF299E"/>
    <w:rsid w:val="6EED3726"/>
    <w:rsid w:val="6F1412BD"/>
    <w:rsid w:val="6F166925"/>
    <w:rsid w:val="6F603769"/>
    <w:rsid w:val="6F901B66"/>
    <w:rsid w:val="6FA629D4"/>
    <w:rsid w:val="6FBF5C46"/>
    <w:rsid w:val="6FD10552"/>
    <w:rsid w:val="70133956"/>
    <w:rsid w:val="70180C47"/>
    <w:rsid w:val="70326005"/>
    <w:rsid w:val="70822F90"/>
    <w:rsid w:val="70BB2EF0"/>
    <w:rsid w:val="70F82402"/>
    <w:rsid w:val="71570257"/>
    <w:rsid w:val="71915503"/>
    <w:rsid w:val="719417C2"/>
    <w:rsid w:val="71DB44A2"/>
    <w:rsid w:val="71E20C76"/>
    <w:rsid w:val="71F80849"/>
    <w:rsid w:val="723C0D11"/>
    <w:rsid w:val="72411A48"/>
    <w:rsid w:val="72454855"/>
    <w:rsid w:val="725E14F7"/>
    <w:rsid w:val="72CF4263"/>
    <w:rsid w:val="73455C21"/>
    <w:rsid w:val="73AB7F97"/>
    <w:rsid w:val="73B8077C"/>
    <w:rsid w:val="73C41938"/>
    <w:rsid w:val="73D425F7"/>
    <w:rsid w:val="73E13215"/>
    <w:rsid w:val="73F735AF"/>
    <w:rsid w:val="74281E3B"/>
    <w:rsid w:val="745D3418"/>
    <w:rsid w:val="75014B8F"/>
    <w:rsid w:val="750A2023"/>
    <w:rsid w:val="75165E8F"/>
    <w:rsid w:val="75793FE9"/>
    <w:rsid w:val="75BB51C1"/>
    <w:rsid w:val="75BF7A08"/>
    <w:rsid w:val="75F506C0"/>
    <w:rsid w:val="75FA6C1A"/>
    <w:rsid w:val="764A7DFA"/>
    <w:rsid w:val="76574574"/>
    <w:rsid w:val="76643AA0"/>
    <w:rsid w:val="7676736A"/>
    <w:rsid w:val="76933951"/>
    <w:rsid w:val="76DF3D50"/>
    <w:rsid w:val="76F74B03"/>
    <w:rsid w:val="771D661B"/>
    <w:rsid w:val="771F475C"/>
    <w:rsid w:val="771F7714"/>
    <w:rsid w:val="7727040D"/>
    <w:rsid w:val="773E4513"/>
    <w:rsid w:val="775A780B"/>
    <w:rsid w:val="77C651A7"/>
    <w:rsid w:val="77E15536"/>
    <w:rsid w:val="78326432"/>
    <w:rsid w:val="783C23EB"/>
    <w:rsid w:val="78662AD7"/>
    <w:rsid w:val="78782A0D"/>
    <w:rsid w:val="78797925"/>
    <w:rsid w:val="789C3FF2"/>
    <w:rsid w:val="78AC1FEA"/>
    <w:rsid w:val="78B01A78"/>
    <w:rsid w:val="792977D4"/>
    <w:rsid w:val="793E4823"/>
    <w:rsid w:val="79485294"/>
    <w:rsid w:val="795E552B"/>
    <w:rsid w:val="798537BE"/>
    <w:rsid w:val="799C2707"/>
    <w:rsid w:val="79A2171F"/>
    <w:rsid w:val="79A252FF"/>
    <w:rsid w:val="79AB0E36"/>
    <w:rsid w:val="79B86297"/>
    <w:rsid w:val="79C213B9"/>
    <w:rsid w:val="79D33056"/>
    <w:rsid w:val="79E5405B"/>
    <w:rsid w:val="79F159CD"/>
    <w:rsid w:val="7A015D03"/>
    <w:rsid w:val="7A0B5628"/>
    <w:rsid w:val="7A5D4556"/>
    <w:rsid w:val="7AD30AB3"/>
    <w:rsid w:val="7AE664D5"/>
    <w:rsid w:val="7B5D5AB8"/>
    <w:rsid w:val="7BC225C3"/>
    <w:rsid w:val="7BCD46FD"/>
    <w:rsid w:val="7BEE0460"/>
    <w:rsid w:val="7C073D88"/>
    <w:rsid w:val="7C120A01"/>
    <w:rsid w:val="7C26369C"/>
    <w:rsid w:val="7C9E5A24"/>
    <w:rsid w:val="7CAC00CB"/>
    <w:rsid w:val="7CB0518C"/>
    <w:rsid w:val="7CF975F0"/>
    <w:rsid w:val="7D0B51CF"/>
    <w:rsid w:val="7D365C28"/>
    <w:rsid w:val="7D481C8C"/>
    <w:rsid w:val="7D4D3ABE"/>
    <w:rsid w:val="7D575412"/>
    <w:rsid w:val="7D62117D"/>
    <w:rsid w:val="7D7F522E"/>
    <w:rsid w:val="7D815945"/>
    <w:rsid w:val="7D9B687D"/>
    <w:rsid w:val="7DA15156"/>
    <w:rsid w:val="7DB54254"/>
    <w:rsid w:val="7DD42AEE"/>
    <w:rsid w:val="7DF1144E"/>
    <w:rsid w:val="7E066BAB"/>
    <w:rsid w:val="7E3354C8"/>
    <w:rsid w:val="7E38594E"/>
    <w:rsid w:val="7E3E1EF2"/>
    <w:rsid w:val="7E951513"/>
    <w:rsid w:val="7EF74FC9"/>
    <w:rsid w:val="7F1C5072"/>
    <w:rsid w:val="7F5777AD"/>
    <w:rsid w:val="7F5D06E2"/>
    <w:rsid w:val="7FA67A70"/>
    <w:rsid w:val="7FBF6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toc 1" w:semiHidden="0" w:qFormat="1"/>
    <w:lsdException w:name="toc 2" w:semiHidden="0" w:qFormat="1"/>
    <w:lsdException w:name="toc 3" w:semiHidden="0" w:qFormat="1"/>
    <w:lsdException w:name="annotation text" w:semiHidden="0" w:qFormat="1"/>
    <w:lsdException w:name="header" w:uiPriority="0" w:unhideWhenUsed="0" w:qFormat="1"/>
    <w:lsdException w:name="footer" w:semiHidden="0" w:qFormat="1"/>
    <w:lsdException w:name="caption" w:semiHidden="0" w:uiPriority="0" w:unhideWhenUsed="0" w:qFormat="1"/>
    <w:lsdException w:name="table of figures" w:semiHidden="0" w:qFormat="1"/>
    <w:lsdException w:name="annotation reference" w:semiHidden="0" w:unhideWhenUsed="0" w:qFormat="1"/>
    <w:lsdException w:name="List" w:semiHidden="0" w:uiPriority="0" w:unhideWhenUsed="0" w:qFormat="1"/>
    <w:lsdException w:name="List 2" w:semiHidden="0" w:uiPriority="0" w:unhideWhenUsed="0" w:qFormat="1"/>
    <w:lsdException w:name="List Number 3" w:uiPriority="0"/>
    <w:lsdException w:name="Default Paragraph Font" w:semiHidden="0" w:uiPriority="1"/>
    <w:lsdException w:name="Hyperlink" w:semiHidden="0" w:unhideWhenUsed="0" w:qFormat="1"/>
    <w:lsdException w:name="Document Map" w:semiHidden="0" w:qFormat="1"/>
    <w:lsdException w:name="Normal (Web)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060"/>
    <w:pPr>
      <w:spacing w:beforeLines="50" w:afterLines="50"/>
      <w:jc w:val="both"/>
    </w:pPr>
    <w:rPr>
      <w:kern w:val="2"/>
      <w:sz w:val="21"/>
    </w:rPr>
  </w:style>
  <w:style w:type="paragraph" w:styleId="Heading1">
    <w:name w:val="heading 1"/>
    <w:basedOn w:val="Normal"/>
    <w:next w:val="Normal"/>
    <w:qFormat/>
    <w:rsid w:val="00880060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rsid w:val="00880060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88006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88006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880060"/>
    <w:pPr>
      <w:spacing w:line="240" w:lineRule="auto"/>
      <w:jc w:val="both"/>
    </w:pPr>
    <w:rPr>
      <w:b/>
      <w:bCs/>
      <w:sz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80060"/>
    <w:pPr>
      <w:jc w:val="left"/>
    </w:pPr>
  </w:style>
  <w:style w:type="paragraph" w:styleId="Caption">
    <w:name w:val="caption"/>
    <w:basedOn w:val="Normal"/>
    <w:next w:val="Normal"/>
    <w:qFormat/>
    <w:rsid w:val="0088006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88006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2">
    <w:name w:val="List 2"/>
    <w:basedOn w:val="List"/>
    <w:qFormat/>
    <w:rsid w:val="00880060"/>
    <w:pPr>
      <w:ind w:left="851"/>
    </w:pPr>
  </w:style>
  <w:style w:type="paragraph" w:styleId="List">
    <w:name w:val="List"/>
    <w:basedOn w:val="Normal"/>
    <w:qFormat/>
    <w:rsid w:val="00880060"/>
    <w:pPr>
      <w:ind w:left="568" w:hanging="284"/>
    </w:pPr>
  </w:style>
  <w:style w:type="paragraph" w:styleId="TOC3">
    <w:name w:val="toc 3"/>
    <w:basedOn w:val="Normal"/>
    <w:next w:val="Normal"/>
    <w:uiPriority w:val="99"/>
    <w:unhideWhenUsed/>
    <w:qFormat/>
    <w:rsid w:val="00880060"/>
    <w:pPr>
      <w:adjustRightInd w:val="0"/>
      <w:ind w:leftChars="400" w:left="1282" w:hangingChars="200" w:hanging="442"/>
    </w:pPr>
    <w:rPr>
      <w:b/>
      <w:i/>
      <w:sz w:val="20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88006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8800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1">
    <w:name w:val="toc 1"/>
    <w:basedOn w:val="Normal"/>
    <w:next w:val="Normal"/>
    <w:uiPriority w:val="99"/>
    <w:unhideWhenUsed/>
    <w:qFormat/>
    <w:rsid w:val="00880060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880060"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99"/>
    <w:unhideWhenUsed/>
    <w:qFormat/>
    <w:rsid w:val="00880060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NormalWeb">
    <w:name w:val="Normal (Web)"/>
    <w:basedOn w:val="Normal"/>
    <w:uiPriority w:val="99"/>
    <w:unhideWhenUsed/>
    <w:qFormat/>
    <w:rsid w:val="00880060"/>
    <w:pPr>
      <w:spacing w:beforeAutospacing="1" w:after="0" w:afterAutospacing="1"/>
      <w:jc w:val="left"/>
    </w:pPr>
    <w:rPr>
      <w:kern w:val="0"/>
      <w:sz w:val="24"/>
    </w:rPr>
  </w:style>
  <w:style w:type="character" w:styleId="Hyperlink">
    <w:name w:val="Hyperlink"/>
    <w:uiPriority w:val="99"/>
    <w:qFormat/>
    <w:rsid w:val="00880060"/>
    <w:rPr>
      <w:color w:val="0000FF"/>
      <w:u w:val="single"/>
    </w:rPr>
  </w:style>
  <w:style w:type="character" w:styleId="CommentReference">
    <w:name w:val="annotation reference"/>
    <w:uiPriority w:val="99"/>
    <w:qFormat/>
    <w:rsid w:val="00880060"/>
    <w:rPr>
      <w:sz w:val="16"/>
    </w:rPr>
  </w:style>
  <w:style w:type="table" w:styleId="TableGrid">
    <w:name w:val="Table Grid"/>
    <w:basedOn w:val="TableNormal"/>
    <w:uiPriority w:val="59"/>
    <w:qFormat/>
    <w:rsid w:val="0088006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YJ--">
    <w:name w:val="YJ--正文"/>
    <w:basedOn w:val="Normal"/>
    <w:qFormat/>
    <w:rsid w:val="00880060"/>
    <w:pPr>
      <w:spacing w:line="240" w:lineRule="auto"/>
      <w:ind w:firstLineChars="200" w:firstLine="1440"/>
    </w:pPr>
    <w:rPr>
      <w:rFonts w:eastAsia="Times New Roman" w:cs="SimSun"/>
    </w:rPr>
  </w:style>
  <w:style w:type="paragraph" w:customStyle="1" w:styleId="ListParagraph1">
    <w:name w:val="List Paragraph1"/>
    <w:basedOn w:val="Normal"/>
    <w:uiPriority w:val="34"/>
    <w:qFormat/>
    <w:rsid w:val="00880060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maintext">
    <w:name w:val="main text"/>
    <w:basedOn w:val="Normal"/>
    <w:qFormat/>
    <w:rsid w:val="00880060"/>
    <w:pPr>
      <w:spacing w:before="60" w:after="60" w:line="288" w:lineRule="auto"/>
      <w:ind w:firstLineChars="200" w:firstLine="200"/>
    </w:pPr>
    <w:rPr>
      <w:rFonts w:eastAsia="Malgun Gothic"/>
      <w:szCs w:val="24"/>
      <w:lang w:eastAsia="ko-KR"/>
    </w:rPr>
  </w:style>
  <w:style w:type="paragraph" w:customStyle="1" w:styleId="Style1">
    <w:name w:val="Style1"/>
    <w:basedOn w:val="Normal"/>
    <w:qFormat/>
    <w:rsid w:val="00880060"/>
    <w:pPr>
      <w:spacing w:after="100" w:afterAutospacing="1" w:line="300" w:lineRule="auto"/>
      <w:ind w:firstLine="360"/>
      <w:contextualSpacing/>
    </w:pPr>
  </w:style>
  <w:style w:type="paragraph" w:customStyle="1" w:styleId="References">
    <w:name w:val="References"/>
    <w:basedOn w:val="Normal"/>
    <w:qFormat/>
    <w:rsid w:val="00880060"/>
    <w:pPr>
      <w:numPr>
        <w:numId w:val="3"/>
      </w:numPr>
      <w:spacing w:after="60"/>
    </w:pPr>
    <w:rPr>
      <w:szCs w:val="16"/>
    </w:rPr>
  </w:style>
  <w:style w:type="paragraph" w:customStyle="1" w:styleId="YJ-Observation">
    <w:name w:val="YJ-Observation"/>
    <w:basedOn w:val="YJ-Proposal"/>
    <w:qFormat/>
    <w:rsid w:val="00880060"/>
    <w:pPr>
      <w:numPr>
        <w:numId w:val="4"/>
      </w:numPr>
      <w:tabs>
        <w:tab w:val="left" w:pos="420"/>
      </w:tabs>
    </w:pPr>
  </w:style>
  <w:style w:type="paragraph" w:customStyle="1" w:styleId="YJ-Proposal">
    <w:name w:val="YJ-Proposal"/>
    <w:basedOn w:val="Normal"/>
    <w:qFormat/>
    <w:rsid w:val="00880060"/>
    <w:pPr>
      <w:numPr>
        <w:numId w:val="5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Normal"/>
    <w:qFormat/>
    <w:rsid w:val="00880060"/>
    <w:pPr>
      <w:numPr>
        <w:numId w:val="6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Normal"/>
    <w:qFormat/>
    <w:rsid w:val="00880060"/>
  </w:style>
  <w:style w:type="paragraph" w:customStyle="1" w:styleId="3rdlevelproposal">
    <w:name w:val="3rd level proposal"/>
    <w:basedOn w:val="sub-proposal"/>
    <w:next w:val="Normal"/>
    <w:qFormat/>
    <w:rsid w:val="00880060"/>
    <w:pPr>
      <w:numPr>
        <w:numId w:val="7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880060"/>
    <w:pPr>
      <w:numPr>
        <w:numId w:val="8"/>
      </w:numPr>
      <w:ind w:leftChars="400" w:left="1282" w:hanging="442"/>
    </w:pPr>
  </w:style>
  <w:style w:type="paragraph" w:customStyle="1" w:styleId="1">
    <w:name w:val="样式1"/>
    <w:basedOn w:val="Normal"/>
    <w:qFormat/>
    <w:rsid w:val="00880060"/>
  </w:style>
  <w:style w:type="paragraph" w:customStyle="1" w:styleId="2">
    <w:name w:val="样式2"/>
    <w:basedOn w:val="Normal"/>
    <w:qFormat/>
    <w:rsid w:val="00880060"/>
  </w:style>
  <w:style w:type="character" w:customStyle="1" w:styleId="font21">
    <w:name w:val="font21"/>
    <w:basedOn w:val="DefaultParagraphFont"/>
    <w:qFormat/>
    <w:rsid w:val="00880060"/>
    <w:rPr>
      <w:rFonts w:ascii="SimSun" w:eastAsia="SimSun" w:hAnsi="SimSun" w:cs="SimSun" w:hint="eastAsia"/>
      <w:color w:val="000000"/>
      <w:sz w:val="20"/>
      <w:szCs w:val="20"/>
      <w:u w:val="none"/>
    </w:rPr>
  </w:style>
  <w:style w:type="character" w:customStyle="1" w:styleId="font11">
    <w:name w:val="font11"/>
    <w:basedOn w:val="DefaultParagraphFont"/>
    <w:qFormat/>
    <w:rsid w:val="00880060"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01">
    <w:name w:val="font01"/>
    <w:basedOn w:val="DefaultParagraphFont"/>
    <w:qFormat/>
    <w:rsid w:val="00880060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paragraph" w:customStyle="1" w:styleId="PL">
    <w:name w:val="PL"/>
    <w:qFormat/>
    <w:rsid w:val="008800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22"/>
    </w:rPr>
  </w:style>
  <w:style w:type="paragraph" w:customStyle="1" w:styleId="B1">
    <w:name w:val="B1"/>
    <w:basedOn w:val="List"/>
    <w:link w:val="B10"/>
    <w:qFormat/>
    <w:rsid w:val="00880060"/>
  </w:style>
  <w:style w:type="paragraph" w:customStyle="1" w:styleId="TH">
    <w:name w:val="TH"/>
    <w:basedOn w:val="Normal"/>
    <w:link w:val="THChar"/>
    <w:qFormat/>
    <w:rsid w:val="008800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link w:val="TAHCar"/>
    <w:qFormat/>
    <w:rsid w:val="00880060"/>
    <w:rPr>
      <w:b/>
    </w:rPr>
  </w:style>
  <w:style w:type="paragraph" w:customStyle="1" w:styleId="TAC">
    <w:name w:val="TAC"/>
    <w:basedOn w:val="TAL"/>
    <w:link w:val="TACChar"/>
    <w:qFormat/>
    <w:rsid w:val="00880060"/>
    <w:pPr>
      <w:jc w:val="center"/>
    </w:pPr>
  </w:style>
  <w:style w:type="paragraph" w:customStyle="1" w:styleId="TAL">
    <w:name w:val="TAL"/>
    <w:basedOn w:val="Normal"/>
    <w:qFormat/>
    <w:rsid w:val="00880060"/>
    <w:pPr>
      <w:keepNext/>
      <w:keepLines/>
      <w:spacing w:after="0"/>
    </w:pPr>
    <w:rPr>
      <w:rFonts w:ascii="Arial" w:hAnsi="Arial"/>
      <w:sz w:val="18"/>
    </w:rPr>
  </w:style>
  <w:style w:type="character" w:customStyle="1" w:styleId="fontstyle01">
    <w:name w:val="fontstyle01"/>
    <w:basedOn w:val="DefaultParagraphFont"/>
    <w:qFormat/>
    <w:rsid w:val="00880060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B2">
    <w:name w:val="B2"/>
    <w:basedOn w:val="List2"/>
    <w:qFormat/>
    <w:rsid w:val="00880060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80060"/>
    <w:rPr>
      <w:rFonts w:ascii="Tahoma" w:hAnsi="Tahoma" w:cs="Tahoma"/>
      <w:kern w:val="2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880060"/>
    <w:rPr>
      <w:rFonts w:ascii="Tahoma" w:hAnsi="Tahoma" w:cs="Tahoma"/>
      <w:kern w:val="2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80060"/>
    <w:rPr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qFormat/>
    <w:rsid w:val="00880060"/>
  </w:style>
  <w:style w:type="character" w:customStyle="1" w:styleId="B10">
    <w:name w:val="B1 (文字)"/>
    <w:link w:val="B1"/>
    <w:qFormat/>
    <w:locked/>
    <w:rsid w:val="00C375E5"/>
    <w:rPr>
      <w:kern w:val="2"/>
      <w:sz w:val="21"/>
    </w:rPr>
  </w:style>
  <w:style w:type="character" w:customStyle="1" w:styleId="TACChar">
    <w:name w:val="TAC Char"/>
    <w:link w:val="TAC"/>
    <w:qFormat/>
    <w:locked/>
    <w:rsid w:val="00A51392"/>
    <w:rPr>
      <w:rFonts w:ascii="Arial" w:hAnsi="Arial"/>
      <w:kern w:val="2"/>
      <w:sz w:val="18"/>
    </w:rPr>
  </w:style>
  <w:style w:type="character" w:customStyle="1" w:styleId="TAHCar">
    <w:name w:val="TAH Car"/>
    <w:link w:val="TAH"/>
    <w:qFormat/>
    <w:rsid w:val="00A51392"/>
    <w:rPr>
      <w:rFonts w:ascii="Arial" w:hAnsi="Arial"/>
      <w:b/>
      <w:kern w:val="2"/>
      <w:sz w:val="18"/>
    </w:rPr>
  </w:style>
  <w:style w:type="character" w:customStyle="1" w:styleId="THChar">
    <w:name w:val="TH Char"/>
    <w:link w:val="TH"/>
    <w:qFormat/>
    <w:rsid w:val="00A51392"/>
    <w:rPr>
      <w:rFonts w:ascii="Arial" w:hAnsi="Arial"/>
      <w:b/>
      <w:kern w:val="2"/>
      <w:sz w:val="21"/>
    </w:rPr>
  </w:style>
  <w:style w:type="paragraph" w:customStyle="1" w:styleId="bullet1">
    <w:name w:val="bullet1"/>
    <w:basedOn w:val="Normal"/>
    <w:qFormat/>
    <w:rsid w:val="00A51392"/>
    <w:pPr>
      <w:numPr>
        <w:ilvl w:val="2"/>
        <w:numId w:val="10"/>
      </w:numPr>
      <w:spacing w:beforeLines="0" w:afterLines="0" w:line="240" w:lineRule="auto"/>
      <w:ind w:left="720"/>
      <w:jc w:val="left"/>
    </w:pPr>
    <w:rPr>
      <w:rFonts w:ascii="Calibri" w:hAnsi="Calibri"/>
      <w:sz w:val="24"/>
      <w:szCs w:val="24"/>
      <w:lang w:val="en-GB"/>
    </w:rPr>
  </w:style>
  <w:style w:type="paragraph" w:customStyle="1" w:styleId="bullet2">
    <w:name w:val="bullet2"/>
    <w:basedOn w:val="Normal"/>
    <w:qFormat/>
    <w:rsid w:val="00A51392"/>
    <w:pPr>
      <w:numPr>
        <w:ilvl w:val="3"/>
        <w:numId w:val="10"/>
      </w:numPr>
      <w:spacing w:beforeLines="0" w:afterLines="0" w:line="240" w:lineRule="auto"/>
      <w:ind w:left="1440"/>
      <w:jc w:val="left"/>
    </w:pPr>
    <w:rPr>
      <w:rFonts w:ascii="Times" w:hAnsi="Times"/>
      <w:sz w:val="24"/>
      <w:szCs w:val="24"/>
      <w:lang w:val="en-GB"/>
    </w:rPr>
  </w:style>
  <w:style w:type="paragraph" w:styleId="ListNumber3">
    <w:name w:val="List Number 3"/>
    <w:basedOn w:val="Normal"/>
    <w:rsid w:val="00A51392"/>
    <w:pPr>
      <w:numPr>
        <w:numId w:val="11"/>
      </w:numP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="Times New Roman"/>
      <w:kern w:val="0"/>
      <w:sz w:val="20"/>
      <w:lang w:val="en-GB" w:eastAsia="en-US"/>
    </w:rPr>
  </w:style>
  <w:style w:type="paragraph" w:styleId="Header">
    <w:name w:val="header"/>
    <w:basedOn w:val="Normal"/>
    <w:link w:val="HeaderChar"/>
    <w:semiHidden/>
    <w:qFormat/>
    <w:rsid w:val="002E3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2E39D5"/>
    <w:rPr>
      <w:kern w:val="2"/>
      <w:sz w:val="21"/>
    </w:rPr>
  </w:style>
  <w:style w:type="character" w:customStyle="1" w:styleId="FooterChar">
    <w:name w:val="Footer Char"/>
    <w:basedOn w:val="DefaultParagraphFont"/>
    <w:link w:val="Footer"/>
    <w:uiPriority w:val="99"/>
    <w:rsid w:val="002E39D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467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28</cp:revision>
  <dcterms:created xsi:type="dcterms:W3CDTF">2019-04-08T03:09:00Z</dcterms:created>
  <dcterms:modified xsi:type="dcterms:W3CDTF">2020-04-10T17:09:00Z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